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03CD2">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color w:val="000000"/>
          <w:kern w:val="0"/>
          <w:sz w:val="44"/>
          <w:szCs w:val="44"/>
        </w:rPr>
      </w:pPr>
    </w:p>
    <w:p w14:paraId="4691206C">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color w:val="000000"/>
          <w:kern w:val="0"/>
          <w:sz w:val="44"/>
          <w:szCs w:val="44"/>
        </w:rPr>
      </w:pPr>
      <w:r>
        <w:rPr>
          <w:rFonts w:hint="eastAsia" w:ascii="Times New Roman" w:hAnsi="Times New Roman" w:eastAsia="方正小标宋简体" w:cs="方正小标宋简体"/>
          <w:b/>
          <w:color w:val="000000"/>
          <w:kern w:val="0"/>
          <w:sz w:val="44"/>
          <w:szCs w:val="44"/>
        </w:rPr>
        <w:t>2025</w:t>
      </w:r>
      <w:r>
        <w:rPr>
          <w:rFonts w:hint="eastAsia" w:ascii="方正小标宋简体" w:hAnsi="方正小标宋简体" w:eastAsia="方正小标宋简体" w:cs="方正小标宋简体"/>
          <w:b/>
          <w:color w:val="000000"/>
          <w:kern w:val="0"/>
          <w:sz w:val="44"/>
          <w:szCs w:val="44"/>
        </w:rPr>
        <w:t>年度中国民主同盟南京市委员会</w:t>
      </w:r>
    </w:p>
    <w:p w14:paraId="22F6754C">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color w:val="000000"/>
          <w:kern w:val="0"/>
          <w:sz w:val="44"/>
          <w:szCs w:val="44"/>
        </w:rPr>
      </w:pPr>
      <w:r>
        <w:rPr>
          <w:rFonts w:hint="eastAsia" w:ascii="方正小标宋简体" w:hAnsi="方正小标宋简体" w:eastAsia="方正小标宋简体" w:cs="方正小标宋简体"/>
          <w:b/>
          <w:color w:val="000000"/>
          <w:kern w:val="0"/>
          <w:sz w:val="44"/>
          <w:szCs w:val="44"/>
        </w:rPr>
        <w:t>部门整体绩效评价报告</w:t>
      </w:r>
    </w:p>
    <w:p w14:paraId="48588AFF">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color w:val="000000"/>
          <w:kern w:val="0"/>
          <w:sz w:val="44"/>
          <w:szCs w:val="44"/>
        </w:rPr>
      </w:pPr>
    </w:p>
    <w:p w14:paraId="6E20A674">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黑体" w:hAnsi="黑体" w:eastAsia="黑体" w:cs="黑体"/>
          <w:color w:val="000000"/>
          <w:kern w:val="0"/>
          <w:sz w:val="34"/>
          <w:szCs w:val="34"/>
        </w:rPr>
      </w:pPr>
      <w:r>
        <w:rPr>
          <w:rFonts w:hint="eastAsia" w:ascii="黑体" w:hAnsi="黑体" w:eastAsia="黑体" w:cs="黑体"/>
          <w:color w:val="000000"/>
          <w:kern w:val="0"/>
          <w:sz w:val="34"/>
          <w:szCs w:val="34"/>
        </w:rPr>
        <w:t>一、部门（单位）概况</w:t>
      </w:r>
    </w:p>
    <w:p w14:paraId="076992BC">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楷体" w:hAnsi="楷体" w:eastAsia="楷体" w:cs="楷体"/>
          <w:sz w:val="34"/>
          <w:szCs w:val="34"/>
        </w:rPr>
      </w:pPr>
      <w:r>
        <w:rPr>
          <w:rFonts w:hint="eastAsia" w:ascii="楷体" w:hAnsi="楷体" w:eastAsia="楷体" w:cs="楷体"/>
          <w:color w:val="000000"/>
          <w:kern w:val="0"/>
          <w:sz w:val="34"/>
          <w:szCs w:val="34"/>
        </w:rPr>
        <w:t>（一）部门（单位）</w:t>
      </w:r>
      <w:r>
        <w:rPr>
          <w:rFonts w:hint="eastAsia" w:ascii="楷体" w:hAnsi="楷体" w:eastAsia="楷体" w:cs="楷体"/>
          <w:sz w:val="34"/>
          <w:szCs w:val="34"/>
        </w:rPr>
        <w:t>基本情况</w:t>
      </w:r>
    </w:p>
    <w:p w14:paraId="01DF9BAB">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.部门单位职能</w:t>
      </w:r>
    </w:p>
    <w:p w14:paraId="2080A00B">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中国民主同盟，主要由从事文化教育以及科学技术工作的高、中级知识分子组成，是中国共产党领导的爱国统一战线的组成部分，是同中国共产党通力合作、致力于中国特色社会主义事业的参政党。民盟南京市委作为市级参政党地方组织，主要职责是坚持中国共产党领导的多党合作和政治协商制度，加强自身建设，履行政治协商、民主监督、参政议政职能。本年度重点工作围绕思想宣传、参政议政、组织发展、社会服务四个主题开展，不断推动盟务水平的提高。</w:t>
      </w:r>
    </w:p>
    <w:p w14:paraId="4DB16B8E">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.机构设置</w:t>
      </w:r>
    </w:p>
    <w:p w14:paraId="19A4B425">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本部门内设机构三处一室，包括组织处、宣传处、参政议政调研处、办公室。</w:t>
      </w:r>
    </w:p>
    <w:p w14:paraId="621BD14C">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3</w:t>
      </w:r>
      <w:r>
        <w:rPr>
          <w:rFonts w:hint="eastAsia" w:ascii="方正仿宋_GB2312" w:hAnsi="方正仿宋_GB2312" w:eastAsia="方正仿宋_GB2312" w:cs="方正仿宋_GB2312"/>
          <w:b/>
          <w:bCs/>
          <w:color w:val="000000"/>
          <w:kern w:val="0"/>
          <w:sz w:val="34"/>
          <w:szCs w:val="34"/>
        </w:rPr>
        <w:t>.人员配置</w:t>
      </w:r>
    </w:p>
    <w:p w14:paraId="6B106941">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部门行政编制</w:t>
      </w:r>
      <w:r>
        <w:rPr>
          <w:rFonts w:hint="eastAsia" w:ascii="Times New Roman" w:hAnsi="Times New Roman" w:eastAsia="方正仿宋_GB2312" w:cs="方正仿宋_GB2312"/>
          <w:color w:val="000000"/>
          <w:kern w:val="0"/>
          <w:sz w:val="34"/>
          <w:szCs w:val="34"/>
        </w:rPr>
        <w:t>19</w:t>
      </w:r>
      <w:r>
        <w:rPr>
          <w:rFonts w:hint="eastAsia" w:ascii="方正仿宋_GB2312" w:hAnsi="方正仿宋_GB2312" w:eastAsia="方正仿宋_GB2312" w:cs="方正仿宋_GB2312"/>
          <w:color w:val="000000"/>
          <w:kern w:val="0"/>
          <w:sz w:val="34"/>
          <w:szCs w:val="34"/>
        </w:rPr>
        <w:t xml:space="preserve"> 人，截至</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年底，实有在职人员</w:t>
      </w:r>
      <w:r>
        <w:rPr>
          <w:rFonts w:hint="eastAsia" w:ascii="Times New Roman" w:hAnsi="Times New Roman" w:eastAsia="方正仿宋_GB2312" w:cs="方正仿宋_GB2312"/>
          <w:color w:val="000000"/>
          <w:kern w:val="0"/>
          <w:sz w:val="34"/>
          <w:szCs w:val="34"/>
        </w:rPr>
        <w:t>13</w:t>
      </w:r>
      <w:r>
        <w:rPr>
          <w:rFonts w:hint="eastAsia" w:ascii="方正仿宋_GB2312" w:hAnsi="方正仿宋_GB2312" w:eastAsia="方正仿宋_GB2312" w:cs="方正仿宋_GB2312"/>
          <w:color w:val="000000"/>
          <w:kern w:val="0"/>
          <w:sz w:val="34"/>
          <w:szCs w:val="34"/>
        </w:rPr>
        <w:t>人，退休人员</w:t>
      </w:r>
      <w:r>
        <w:rPr>
          <w:rFonts w:hint="eastAsia" w:ascii="Times New Roman" w:hAnsi="Times New Roman" w:eastAsia="方正仿宋_GB2312" w:cs="方正仿宋_GB2312"/>
          <w:color w:val="000000"/>
          <w:kern w:val="0"/>
          <w:sz w:val="34"/>
          <w:szCs w:val="34"/>
        </w:rPr>
        <w:t>12</w:t>
      </w:r>
      <w:r>
        <w:rPr>
          <w:rFonts w:hint="eastAsia" w:ascii="方正仿宋_GB2312" w:hAnsi="方正仿宋_GB2312" w:eastAsia="方正仿宋_GB2312" w:cs="方正仿宋_GB2312"/>
          <w:color w:val="000000"/>
          <w:kern w:val="0"/>
          <w:sz w:val="34"/>
          <w:szCs w:val="34"/>
        </w:rPr>
        <w:t>人。</w:t>
      </w:r>
    </w:p>
    <w:p w14:paraId="46B62183">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4</w:t>
      </w:r>
      <w:r>
        <w:rPr>
          <w:rFonts w:hint="eastAsia" w:ascii="方正仿宋_GB2312" w:hAnsi="方正仿宋_GB2312" w:eastAsia="方正仿宋_GB2312" w:cs="方正仿宋_GB2312"/>
          <w:b/>
          <w:bCs/>
          <w:color w:val="000000"/>
          <w:kern w:val="0"/>
          <w:sz w:val="34"/>
          <w:szCs w:val="34"/>
        </w:rPr>
        <w:t>.部门资产</w:t>
      </w:r>
    </w:p>
    <w:p w14:paraId="77B48E7B">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截至</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年底，本部门持有国有资产</w:t>
      </w:r>
      <w:r>
        <w:rPr>
          <w:rFonts w:hint="eastAsia" w:ascii="Times New Roman" w:hAnsi="Times New Roman" w:eastAsia="方正仿宋_GB2312" w:cs="方正仿宋_GB2312"/>
          <w:sz w:val="34"/>
          <w:szCs w:val="34"/>
        </w:rPr>
        <w:t>40</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29</w:t>
      </w:r>
      <w:r>
        <w:rPr>
          <w:rFonts w:hint="eastAsia" w:ascii="方正仿宋_GB2312" w:hAnsi="方正仿宋_GB2312" w:eastAsia="方正仿宋_GB2312" w:cs="方正仿宋_GB2312"/>
          <w:color w:val="000000"/>
          <w:kern w:val="0"/>
          <w:sz w:val="34"/>
          <w:szCs w:val="34"/>
        </w:rPr>
        <w:t>万元（净值），其中固定资产</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94</w:t>
      </w:r>
      <w:r>
        <w:rPr>
          <w:rFonts w:hint="eastAsia" w:ascii="方正仿宋_GB2312" w:hAnsi="方正仿宋_GB2312" w:eastAsia="方正仿宋_GB2312" w:cs="方正仿宋_GB2312"/>
          <w:color w:val="000000"/>
          <w:kern w:val="0"/>
          <w:sz w:val="34"/>
          <w:szCs w:val="34"/>
        </w:rPr>
        <w:t>万元，由通用设备及部分家具组成，本部门共有应急保障用车</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 xml:space="preserve"> 辆，无无形资产、在建工程、房屋等；流动资产</w:t>
      </w:r>
      <w:r>
        <w:rPr>
          <w:rFonts w:hint="eastAsia" w:ascii="Times New Roman" w:hAnsi="Times New Roman" w:eastAsia="方正仿宋_GB2312" w:cs="方正仿宋_GB2312"/>
          <w:sz w:val="34"/>
          <w:szCs w:val="34"/>
        </w:rPr>
        <w:t>35</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35</w:t>
      </w:r>
      <w:r>
        <w:rPr>
          <w:rFonts w:hint="eastAsia" w:ascii="方正仿宋_GB2312" w:hAnsi="方正仿宋_GB2312" w:eastAsia="方正仿宋_GB2312" w:cs="方正仿宋_GB2312"/>
          <w:color w:val="000000"/>
          <w:kern w:val="0"/>
          <w:sz w:val="34"/>
          <w:szCs w:val="34"/>
        </w:rPr>
        <w:t>万元，主要是货币资金。</w:t>
      </w:r>
    </w:p>
    <w:p w14:paraId="69290B11">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5</w:t>
      </w:r>
      <w:r>
        <w:rPr>
          <w:rFonts w:hint="eastAsia" w:ascii="方正仿宋_GB2312" w:hAnsi="方正仿宋_GB2312" w:eastAsia="方正仿宋_GB2312" w:cs="方正仿宋_GB2312"/>
          <w:b/>
          <w:bCs/>
          <w:color w:val="000000"/>
          <w:kern w:val="0"/>
          <w:sz w:val="34"/>
          <w:szCs w:val="34"/>
          <w:lang w:val="en-US" w:eastAsia="zh-CN"/>
        </w:rPr>
        <w:t>.</w:t>
      </w:r>
      <w:r>
        <w:rPr>
          <w:rFonts w:hint="eastAsia" w:ascii="方正仿宋_GB2312" w:hAnsi="方正仿宋_GB2312" w:eastAsia="方正仿宋_GB2312" w:cs="方正仿宋_GB2312"/>
          <w:b/>
          <w:bCs/>
          <w:color w:val="000000"/>
          <w:kern w:val="0"/>
          <w:sz w:val="34"/>
          <w:szCs w:val="34"/>
        </w:rPr>
        <w:t>部门负债</w:t>
      </w:r>
    </w:p>
    <w:p w14:paraId="6E5DBA9F">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lang w:val="en-US" w:eastAsia="zh-CN"/>
        </w:rPr>
      </w:pPr>
      <w:r>
        <w:rPr>
          <w:rFonts w:hint="eastAsia" w:ascii="方正仿宋_GB2312" w:hAnsi="方正仿宋_GB2312" w:eastAsia="方正仿宋_GB2312" w:cs="方正仿宋_GB2312"/>
          <w:color w:val="000000"/>
          <w:kern w:val="0"/>
          <w:sz w:val="34"/>
          <w:szCs w:val="34"/>
          <w:lang w:val="en-US" w:eastAsia="zh-CN"/>
        </w:rPr>
        <w:t>截至</w:t>
      </w:r>
      <w:r>
        <w:rPr>
          <w:rFonts w:hint="eastAsia" w:ascii="Times New Roman" w:hAnsi="Times New Roman" w:eastAsia="方正仿宋_GB2312" w:cs="方正仿宋_GB2312"/>
          <w:color w:val="000000"/>
          <w:kern w:val="0"/>
          <w:sz w:val="34"/>
          <w:szCs w:val="34"/>
          <w:lang w:val="en-US" w:eastAsia="zh-CN"/>
        </w:rPr>
        <w:t>2025</w:t>
      </w:r>
      <w:r>
        <w:rPr>
          <w:rFonts w:hint="eastAsia" w:ascii="方正仿宋_GB2312" w:hAnsi="方正仿宋_GB2312" w:eastAsia="方正仿宋_GB2312" w:cs="方正仿宋_GB2312"/>
          <w:color w:val="000000"/>
          <w:kern w:val="0"/>
          <w:sz w:val="34"/>
          <w:szCs w:val="34"/>
          <w:lang w:val="en-US" w:eastAsia="zh-CN"/>
        </w:rPr>
        <w:t>年底，本部门</w:t>
      </w:r>
      <w:r>
        <w:rPr>
          <w:rFonts w:hint="eastAsia" w:ascii="方正仿宋_GB2312" w:hAnsi="方正仿宋_GB2312" w:eastAsia="方正仿宋_GB2312" w:cs="方正仿宋_GB2312"/>
          <w:color w:val="000000"/>
          <w:kern w:val="0"/>
          <w:sz w:val="34"/>
          <w:szCs w:val="34"/>
        </w:rPr>
        <w:t>负债</w:t>
      </w:r>
      <w:r>
        <w:rPr>
          <w:rFonts w:hint="eastAsia" w:ascii="Times New Roman" w:hAnsi="Times New Roman" w:eastAsia="方正仿宋_GB2312" w:cs="方正仿宋_GB2312"/>
          <w:color w:val="000000"/>
          <w:kern w:val="0"/>
          <w:sz w:val="34"/>
          <w:szCs w:val="34"/>
          <w:lang w:val="en-US" w:eastAsia="zh-CN"/>
        </w:rPr>
        <w:t>34</w:t>
      </w:r>
      <w:r>
        <w:rPr>
          <w:rFonts w:hint="eastAsia" w:ascii="方正仿宋_GB2312" w:hAnsi="方正仿宋_GB2312" w:eastAsia="方正仿宋_GB2312" w:cs="方正仿宋_GB2312"/>
          <w:color w:val="000000"/>
          <w:kern w:val="0"/>
          <w:sz w:val="34"/>
          <w:szCs w:val="34"/>
          <w:lang w:val="en-US" w:eastAsia="zh-CN"/>
        </w:rPr>
        <w:t>.</w:t>
      </w:r>
      <w:r>
        <w:rPr>
          <w:rFonts w:hint="eastAsia" w:ascii="Times New Roman" w:hAnsi="Times New Roman" w:eastAsia="方正仿宋_GB2312" w:cs="方正仿宋_GB2312"/>
          <w:color w:val="000000"/>
          <w:kern w:val="0"/>
          <w:sz w:val="34"/>
          <w:szCs w:val="34"/>
          <w:lang w:val="en-US" w:eastAsia="zh-CN"/>
        </w:rPr>
        <w:t>81</w:t>
      </w:r>
      <w:r>
        <w:rPr>
          <w:rFonts w:hint="eastAsia" w:ascii="方正仿宋_GB2312" w:hAnsi="方正仿宋_GB2312" w:eastAsia="方正仿宋_GB2312" w:cs="方正仿宋_GB2312"/>
          <w:color w:val="000000"/>
          <w:kern w:val="0"/>
          <w:sz w:val="34"/>
          <w:szCs w:val="34"/>
          <w:lang w:val="en-US" w:eastAsia="zh-CN"/>
        </w:rPr>
        <w:t>万元，其中其他应付款</w:t>
      </w:r>
      <w:r>
        <w:rPr>
          <w:rFonts w:hint="eastAsia" w:ascii="Times New Roman" w:hAnsi="Times New Roman" w:eastAsia="方正仿宋_GB2312" w:cs="方正仿宋_GB2312"/>
          <w:color w:val="000000"/>
          <w:kern w:val="0"/>
          <w:sz w:val="34"/>
          <w:szCs w:val="34"/>
          <w:lang w:val="en-US" w:eastAsia="zh-CN"/>
        </w:rPr>
        <w:t>34</w:t>
      </w:r>
      <w:r>
        <w:rPr>
          <w:rFonts w:hint="eastAsia" w:ascii="方正仿宋_GB2312" w:hAnsi="方正仿宋_GB2312" w:eastAsia="方正仿宋_GB2312" w:cs="方正仿宋_GB2312"/>
          <w:color w:val="000000"/>
          <w:kern w:val="0"/>
          <w:sz w:val="34"/>
          <w:szCs w:val="34"/>
          <w:lang w:val="en-US" w:eastAsia="zh-CN"/>
        </w:rPr>
        <w:t>.</w:t>
      </w:r>
      <w:r>
        <w:rPr>
          <w:rFonts w:hint="eastAsia" w:ascii="Times New Roman" w:hAnsi="Times New Roman" w:eastAsia="方正仿宋_GB2312" w:cs="方正仿宋_GB2312"/>
          <w:color w:val="000000"/>
          <w:kern w:val="0"/>
          <w:sz w:val="34"/>
          <w:szCs w:val="34"/>
          <w:lang w:val="en-US" w:eastAsia="zh-CN"/>
        </w:rPr>
        <w:t>81</w:t>
      </w:r>
      <w:r>
        <w:rPr>
          <w:rFonts w:hint="eastAsia" w:ascii="方正仿宋_GB2312" w:hAnsi="方正仿宋_GB2312" w:eastAsia="方正仿宋_GB2312" w:cs="方正仿宋_GB2312"/>
          <w:color w:val="000000"/>
          <w:kern w:val="0"/>
          <w:sz w:val="34"/>
          <w:szCs w:val="34"/>
          <w:lang w:val="en-US" w:eastAsia="zh-CN"/>
        </w:rPr>
        <w:t>万元，由</w:t>
      </w:r>
      <w:r>
        <w:rPr>
          <w:rFonts w:hint="eastAsia" w:ascii="方正仿宋_GB2312" w:hAnsi="方正仿宋_GB2312" w:eastAsia="方正仿宋_GB2312" w:cs="方正仿宋_GB2312"/>
          <w:color w:val="000000"/>
          <w:kern w:val="0"/>
          <w:sz w:val="34"/>
          <w:szCs w:val="34"/>
        </w:rPr>
        <w:t>存于代管资金账户的</w:t>
      </w:r>
      <w:r>
        <w:rPr>
          <w:rFonts w:hint="eastAsia" w:ascii="方正仿宋_GB2312" w:hAnsi="方正仿宋_GB2312" w:eastAsia="方正仿宋_GB2312" w:cs="方正仿宋_GB2312"/>
          <w:color w:val="000000"/>
          <w:kern w:val="0"/>
          <w:sz w:val="34"/>
          <w:szCs w:val="34"/>
          <w:lang w:val="en-US" w:eastAsia="zh-CN"/>
        </w:rPr>
        <w:t>各项</w:t>
      </w:r>
      <w:r>
        <w:rPr>
          <w:rFonts w:hint="eastAsia" w:ascii="方正仿宋_GB2312" w:hAnsi="方正仿宋_GB2312" w:eastAsia="方正仿宋_GB2312" w:cs="方正仿宋_GB2312"/>
          <w:color w:val="000000"/>
          <w:kern w:val="0"/>
          <w:sz w:val="34"/>
          <w:szCs w:val="34"/>
        </w:rPr>
        <w:t>临时往来资金</w:t>
      </w:r>
      <w:r>
        <w:rPr>
          <w:rFonts w:hint="eastAsia" w:ascii="方正仿宋_GB2312" w:hAnsi="方正仿宋_GB2312" w:eastAsia="方正仿宋_GB2312" w:cs="方正仿宋_GB2312"/>
          <w:color w:val="000000"/>
          <w:kern w:val="0"/>
          <w:sz w:val="34"/>
          <w:szCs w:val="34"/>
          <w:lang w:val="en-US" w:eastAsia="zh-CN"/>
        </w:rPr>
        <w:t>组成，分别为中央、省级下发的履职奖励；计划次年上缴的以前年度财政资金；计划次年转至遗属的社保退费。</w:t>
      </w:r>
    </w:p>
    <w:p w14:paraId="53CB9D25">
      <w:pPr>
        <w:keepNext w:val="0"/>
        <w:keepLines w:val="0"/>
        <w:pageBreakBefore w:val="0"/>
        <w:numPr>
          <w:ilvl w:val="0"/>
          <w:numId w:val="1"/>
        </w:numPr>
        <w:kinsoku/>
        <w:wordWrap/>
        <w:overflowPunct/>
        <w:topLinePunct w:val="0"/>
        <w:autoSpaceDE/>
        <w:autoSpaceDN/>
        <w:bidi w:val="0"/>
        <w:adjustRightInd/>
        <w:snapToGrid/>
        <w:spacing w:line="590" w:lineRule="exact"/>
        <w:ind w:firstLine="680" w:firstLineChars="200"/>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部门（单位）资金情况</w:t>
      </w:r>
    </w:p>
    <w:p w14:paraId="2D3C1115">
      <w:pPr>
        <w:keepNext w:val="0"/>
        <w:keepLines w:val="0"/>
        <w:pageBreakBefore w:val="0"/>
        <w:kinsoku/>
        <w:wordWrap/>
        <w:overflowPunct/>
        <w:topLinePunct w:val="0"/>
        <w:autoSpaceDE/>
        <w:autoSpaceDN/>
        <w:bidi w:val="0"/>
        <w:adjustRightInd/>
        <w:snapToGrid/>
        <w:spacing w:line="590" w:lineRule="exact"/>
        <w:ind w:firstLine="683" w:firstLineChars="200"/>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.部门收支情况</w:t>
      </w:r>
    </w:p>
    <w:p w14:paraId="17B9A6A9">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中国民主同盟南京市委员会</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年度预算安排</w:t>
      </w:r>
      <w:r>
        <w:rPr>
          <w:rFonts w:hint="eastAsia" w:ascii="Times New Roman" w:hAnsi="Times New Roman" w:eastAsia="方正仿宋_GB2312" w:cs="方正仿宋_GB2312"/>
          <w:sz w:val="34"/>
          <w:szCs w:val="34"/>
        </w:rPr>
        <w:t>771</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72</w:t>
      </w:r>
      <w:r>
        <w:rPr>
          <w:rFonts w:hint="eastAsia" w:ascii="方正仿宋_GB2312" w:hAnsi="方正仿宋_GB2312" w:eastAsia="方正仿宋_GB2312" w:cs="方正仿宋_GB2312"/>
          <w:color w:val="000000"/>
          <w:kern w:val="0"/>
          <w:sz w:val="34"/>
          <w:szCs w:val="34"/>
        </w:rPr>
        <w:t>万元，其中：基本支出</w:t>
      </w:r>
      <w:r>
        <w:rPr>
          <w:rFonts w:hint="eastAsia" w:ascii="Times New Roman" w:hAnsi="Times New Roman" w:eastAsia="方正仿宋_GB2312" w:cs="方正仿宋_GB2312"/>
          <w:sz w:val="34"/>
          <w:szCs w:val="34"/>
        </w:rPr>
        <w:t>718</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42</w:t>
      </w:r>
      <w:r>
        <w:rPr>
          <w:rFonts w:hint="eastAsia" w:ascii="方正仿宋_GB2312" w:hAnsi="方正仿宋_GB2312" w:eastAsia="方正仿宋_GB2312" w:cs="方正仿宋_GB2312"/>
          <w:color w:val="000000"/>
          <w:kern w:val="0"/>
          <w:sz w:val="34"/>
          <w:szCs w:val="34"/>
        </w:rPr>
        <w:t>万元，项目支出</w:t>
      </w:r>
      <w:r>
        <w:rPr>
          <w:rFonts w:hint="eastAsia" w:ascii="Times New Roman" w:hAnsi="Times New Roman" w:eastAsia="方正仿宋_GB2312" w:cs="方正仿宋_GB2312"/>
          <w:color w:val="000000"/>
          <w:kern w:val="0"/>
          <w:sz w:val="34"/>
          <w:szCs w:val="34"/>
        </w:rPr>
        <w:t>53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30</w:t>
      </w:r>
      <w:r>
        <w:rPr>
          <w:rFonts w:hint="eastAsia" w:ascii="方正仿宋_GB2312" w:hAnsi="方正仿宋_GB2312" w:eastAsia="方正仿宋_GB2312" w:cs="方正仿宋_GB2312"/>
          <w:color w:val="000000"/>
          <w:kern w:val="0"/>
          <w:sz w:val="34"/>
          <w:szCs w:val="34"/>
        </w:rPr>
        <w:t>万元。调整后收入</w:t>
      </w:r>
      <w:r>
        <w:rPr>
          <w:rFonts w:hint="eastAsia" w:ascii="Times New Roman" w:hAnsi="Times New Roman" w:eastAsia="方正仿宋_GB2312" w:cs="方正仿宋_GB2312"/>
          <w:color w:val="000000"/>
          <w:kern w:val="0"/>
          <w:sz w:val="34"/>
          <w:szCs w:val="34"/>
        </w:rPr>
        <w:t>861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57</w:t>
      </w:r>
      <w:r>
        <w:rPr>
          <w:rFonts w:hint="eastAsia" w:ascii="方正仿宋_GB2312" w:hAnsi="方正仿宋_GB2312" w:eastAsia="方正仿宋_GB2312" w:cs="方正仿宋_GB2312"/>
          <w:color w:val="000000"/>
          <w:kern w:val="0"/>
          <w:sz w:val="34"/>
          <w:szCs w:val="34"/>
        </w:rPr>
        <w:t>万元，其中：基本支出</w:t>
      </w:r>
      <w:r>
        <w:rPr>
          <w:rFonts w:hint="eastAsia" w:ascii="Times New Roman" w:hAnsi="Times New Roman" w:eastAsia="方正仿宋_GB2312" w:cs="方正仿宋_GB2312"/>
          <w:sz w:val="34"/>
          <w:szCs w:val="34"/>
        </w:rPr>
        <w:t>803</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35</w:t>
      </w:r>
      <w:r>
        <w:rPr>
          <w:rFonts w:hint="eastAsia" w:ascii="方正仿宋_GB2312" w:hAnsi="方正仿宋_GB2312" w:eastAsia="方正仿宋_GB2312" w:cs="方正仿宋_GB2312"/>
          <w:color w:val="000000"/>
          <w:kern w:val="0"/>
          <w:sz w:val="34"/>
          <w:szCs w:val="34"/>
        </w:rPr>
        <w:t>万元，调增</w:t>
      </w:r>
      <w:r>
        <w:rPr>
          <w:rFonts w:hint="eastAsia" w:ascii="Times New Roman" w:hAnsi="Times New Roman" w:eastAsia="方正仿宋_GB2312" w:cs="方正仿宋_GB2312"/>
          <w:color w:val="000000"/>
          <w:kern w:val="0"/>
          <w:sz w:val="34"/>
          <w:szCs w:val="34"/>
        </w:rPr>
        <w:t>84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93</w:t>
      </w:r>
      <w:r>
        <w:rPr>
          <w:rFonts w:hint="eastAsia" w:ascii="方正仿宋_GB2312" w:hAnsi="方正仿宋_GB2312" w:eastAsia="方正仿宋_GB2312" w:cs="方正仿宋_GB2312"/>
          <w:color w:val="000000"/>
          <w:kern w:val="0"/>
          <w:sz w:val="34"/>
          <w:szCs w:val="34"/>
        </w:rPr>
        <w:t>万元，原因是年度工资调整、申请抚恤金、丧葬费等支出；项目支出</w:t>
      </w:r>
      <w:r>
        <w:rPr>
          <w:rFonts w:hint="eastAsia" w:ascii="Times New Roman" w:hAnsi="Times New Roman" w:eastAsia="方正仿宋_GB2312" w:cs="方正仿宋_GB2312"/>
          <w:sz w:val="34"/>
          <w:szCs w:val="34"/>
        </w:rPr>
        <w:t>53</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30</w:t>
      </w:r>
      <w:r>
        <w:rPr>
          <w:rFonts w:hint="eastAsia" w:ascii="方正仿宋_GB2312" w:hAnsi="方正仿宋_GB2312" w:eastAsia="方正仿宋_GB2312" w:cs="方正仿宋_GB2312"/>
          <w:sz w:val="34"/>
          <w:szCs w:val="34"/>
        </w:rPr>
        <w:t>万</w:t>
      </w:r>
      <w:r>
        <w:rPr>
          <w:rFonts w:hint="eastAsia" w:ascii="方正仿宋_GB2312" w:hAnsi="方正仿宋_GB2312" w:eastAsia="方正仿宋_GB2312" w:cs="方正仿宋_GB2312"/>
          <w:color w:val="000000"/>
          <w:kern w:val="0"/>
          <w:sz w:val="34"/>
          <w:szCs w:val="34"/>
        </w:rPr>
        <w:t>元，与年初持平；其他支出</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92</w:t>
      </w:r>
      <w:r>
        <w:rPr>
          <w:rFonts w:hint="eastAsia" w:ascii="方正仿宋_GB2312" w:hAnsi="方正仿宋_GB2312" w:eastAsia="方正仿宋_GB2312" w:cs="方正仿宋_GB2312"/>
          <w:color w:val="000000"/>
          <w:kern w:val="0"/>
          <w:sz w:val="34"/>
          <w:szCs w:val="34"/>
        </w:rPr>
        <w:t>万元，调增</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92</w:t>
      </w:r>
      <w:r>
        <w:rPr>
          <w:rFonts w:hint="eastAsia" w:ascii="方正仿宋_GB2312" w:hAnsi="方正仿宋_GB2312" w:eastAsia="方正仿宋_GB2312" w:cs="方正仿宋_GB2312"/>
          <w:color w:val="000000"/>
          <w:kern w:val="0"/>
          <w:sz w:val="34"/>
          <w:szCs w:val="34"/>
        </w:rPr>
        <w:t>万元，原因是</w:t>
      </w:r>
      <w:r>
        <w:rPr>
          <w:rFonts w:hint="eastAsia" w:ascii="方正仿宋_GB2312" w:hAnsi="方正仿宋_GB2312" w:eastAsia="方正仿宋_GB2312" w:cs="方正仿宋_GB2312"/>
          <w:color w:val="000000"/>
          <w:kern w:val="0"/>
          <w:sz w:val="34"/>
          <w:szCs w:val="34"/>
          <w:lang w:val="en-US" w:eastAsia="zh-CN"/>
        </w:rPr>
        <w:t>发放</w:t>
      </w:r>
      <w:r>
        <w:rPr>
          <w:rFonts w:hint="eastAsia" w:ascii="方正仿宋_GB2312" w:hAnsi="方正仿宋_GB2312" w:eastAsia="方正仿宋_GB2312" w:cs="方正仿宋_GB2312"/>
          <w:color w:val="000000"/>
          <w:kern w:val="0"/>
          <w:sz w:val="34"/>
          <w:szCs w:val="34"/>
        </w:rPr>
        <w:t>老职工住房补贴。</w:t>
      </w:r>
    </w:p>
    <w:p w14:paraId="5277AA96">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年中国民主同盟南京市委员会实际支出</w:t>
      </w:r>
      <w:r>
        <w:rPr>
          <w:rFonts w:hint="eastAsia" w:ascii="Times New Roman" w:hAnsi="Times New Roman" w:eastAsia="方正仿宋_GB2312" w:cs="方正仿宋_GB2312"/>
          <w:sz w:val="34"/>
          <w:szCs w:val="34"/>
        </w:rPr>
        <w:t>852</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40</w:t>
      </w:r>
      <w:r>
        <w:rPr>
          <w:rFonts w:hint="eastAsia" w:ascii="方正仿宋_GB2312" w:hAnsi="方正仿宋_GB2312" w:eastAsia="方正仿宋_GB2312" w:cs="方正仿宋_GB2312"/>
          <w:sz w:val="34"/>
          <w:szCs w:val="34"/>
        </w:rPr>
        <w:t>万元，预算执行率</w:t>
      </w:r>
      <w:r>
        <w:rPr>
          <w:rFonts w:hint="eastAsia" w:ascii="Times New Roman" w:hAnsi="Times New Roman" w:eastAsia="方正仿宋_GB2312" w:cs="方正仿宋_GB2312"/>
          <w:sz w:val="34"/>
          <w:szCs w:val="34"/>
        </w:rPr>
        <w:t>98</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36</w:t>
      </w:r>
      <w:r>
        <w:rPr>
          <w:rFonts w:hint="eastAsia" w:ascii="方正仿宋_GB2312" w:hAnsi="方正仿宋_GB2312" w:eastAsia="方正仿宋_GB2312" w:cs="方正仿宋_GB2312"/>
          <w:sz w:val="34"/>
          <w:szCs w:val="34"/>
        </w:rPr>
        <w:t>%。其中：基本支出</w:t>
      </w:r>
      <w:r>
        <w:rPr>
          <w:rFonts w:hint="eastAsia" w:ascii="Times New Roman" w:hAnsi="Times New Roman" w:eastAsia="方正仿宋_GB2312" w:cs="方正仿宋_GB2312"/>
          <w:sz w:val="34"/>
          <w:szCs w:val="34"/>
        </w:rPr>
        <w:t>796</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44</w:t>
      </w:r>
      <w:r>
        <w:rPr>
          <w:rFonts w:hint="eastAsia" w:ascii="方正仿宋_GB2312" w:hAnsi="方正仿宋_GB2312" w:eastAsia="方正仿宋_GB2312" w:cs="方正仿宋_GB2312"/>
          <w:sz w:val="34"/>
          <w:szCs w:val="34"/>
        </w:rPr>
        <w:t>万元，</w:t>
      </w:r>
      <w:r>
        <w:rPr>
          <w:rFonts w:hint="eastAsia" w:ascii="方正仿宋_GB2312" w:hAnsi="方正仿宋_GB2312" w:eastAsia="方正仿宋_GB2312" w:cs="方正仿宋_GB2312"/>
          <w:color w:val="000000"/>
          <w:kern w:val="0"/>
          <w:sz w:val="34"/>
          <w:szCs w:val="34"/>
        </w:rPr>
        <w:t>预算执行率</w:t>
      </w:r>
      <w:r>
        <w:rPr>
          <w:rFonts w:hint="eastAsia" w:ascii="Times New Roman" w:hAnsi="Times New Roman" w:eastAsia="方正仿宋_GB2312" w:cs="方正仿宋_GB2312"/>
          <w:color w:val="000000"/>
          <w:kern w:val="0"/>
          <w:sz w:val="34"/>
          <w:szCs w:val="34"/>
        </w:rPr>
        <w:t>99</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14</w:t>
      </w:r>
      <w:r>
        <w:rPr>
          <w:rFonts w:hint="eastAsia" w:ascii="方正仿宋_GB2312" w:hAnsi="方正仿宋_GB2312" w:eastAsia="方正仿宋_GB2312" w:cs="方正仿宋_GB2312"/>
          <w:color w:val="000000"/>
          <w:kern w:val="0"/>
          <w:sz w:val="34"/>
          <w:szCs w:val="34"/>
        </w:rPr>
        <w:t>%；项目支出</w:t>
      </w:r>
      <w:r>
        <w:rPr>
          <w:rFonts w:hint="eastAsia" w:ascii="Times New Roman" w:hAnsi="Times New Roman" w:eastAsia="方正仿宋_GB2312" w:cs="方正仿宋_GB2312"/>
          <w:color w:val="000000"/>
          <w:kern w:val="0"/>
          <w:sz w:val="34"/>
          <w:szCs w:val="34"/>
        </w:rPr>
        <w:t>51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04</w:t>
      </w:r>
      <w:r>
        <w:rPr>
          <w:rFonts w:hint="eastAsia" w:ascii="方正仿宋_GB2312" w:hAnsi="方正仿宋_GB2312" w:eastAsia="方正仿宋_GB2312" w:cs="方正仿宋_GB2312"/>
          <w:color w:val="000000"/>
          <w:kern w:val="0"/>
          <w:sz w:val="34"/>
          <w:szCs w:val="34"/>
        </w:rPr>
        <w:t>万元，预算执行率</w:t>
      </w:r>
      <w:r>
        <w:rPr>
          <w:rFonts w:hint="eastAsia" w:ascii="Times New Roman" w:hAnsi="Times New Roman" w:eastAsia="方正仿宋_GB2312" w:cs="方正仿宋_GB2312"/>
          <w:color w:val="000000"/>
          <w:kern w:val="0"/>
          <w:sz w:val="34"/>
          <w:szCs w:val="34"/>
        </w:rPr>
        <w:t>95</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76</w:t>
      </w:r>
      <w:r>
        <w:rPr>
          <w:rFonts w:hint="eastAsia" w:ascii="方正仿宋_GB2312" w:hAnsi="方正仿宋_GB2312" w:eastAsia="方正仿宋_GB2312" w:cs="方正仿宋_GB2312"/>
          <w:color w:val="000000"/>
          <w:kern w:val="0"/>
          <w:sz w:val="34"/>
          <w:szCs w:val="34"/>
        </w:rPr>
        <w:t>%。详情见表</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w:t>
      </w:r>
    </w:p>
    <w:p w14:paraId="4BF71325">
      <w:pPr>
        <w:keepNext w:val="0"/>
        <w:keepLines w:val="0"/>
        <w:pageBreakBefore w:val="0"/>
        <w:widowControl/>
        <w:kinsoku/>
        <w:wordWrap/>
        <w:overflowPunct/>
        <w:topLinePunct w:val="0"/>
        <w:autoSpaceDE/>
        <w:autoSpaceDN/>
        <w:bidi w:val="0"/>
        <w:adjustRightInd/>
        <w:snapToGrid/>
        <w:spacing w:line="590" w:lineRule="exact"/>
        <w:ind w:firstLine="683" w:firstLineChars="200"/>
        <w:jc w:val="center"/>
        <w:rPr>
          <w:rFonts w:hint="eastAsia" w:ascii="方正仿宋_GB2312" w:hAnsi="方正仿宋_GB2312" w:eastAsia="方正仿宋_GB2312" w:cs="方正仿宋_GB2312"/>
          <w:b/>
          <w:bCs/>
          <w:color w:val="000000"/>
          <w:kern w:val="0"/>
          <w:sz w:val="34"/>
          <w:szCs w:val="34"/>
        </w:rPr>
      </w:pPr>
      <w:r>
        <w:rPr>
          <w:rFonts w:hint="eastAsia" w:ascii="方正仿宋_GB2312" w:hAnsi="方正仿宋_GB2312" w:eastAsia="方正仿宋_GB2312" w:cs="方正仿宋_GB2312"/>
          <w:b/>
          <w:bCs/>
          <w:color w:val="000000"/>
          <w:kern w:val="0"/>
          <w:sz w:val="34"/>
          <w:szCs w:val="34"/>
        </w:rPr>
        <w:t>表</w:t>
      </w: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 xml:space="preserve">  </w:t>
      </w:r>
      <w:r>
        <w:rPr>
          <w:rFonts w:hint="eastAsia" w:ascii="Times New Roman" w:hAnsi="Times New Roman" w:eastAsia="方正仿宋_GB2312" w:cs="方正仿宋_GB2312"/>
          <w:b/>
          <w:bCs/>
          <w:color w:val="000000"/>
          <w:kern w:val="0"/>
          <w:sz w:val="34"/>
          <w:szCs w:val="34"/>
        </w:rPr>
        <w:t>2025</w:t>
      </w:r>
      <w:r>
        <w:rPr>
          <w:rFonts w:hint="eastAsia" w:ascii="方正仿宋_GB2312" w:hAnsi="方正仿宋_GB2312" w:eastAsia="方正仿宋_GB2312" w:cs="方正仿宋_GB2312"/>
          <w:b/>
          <w:bCs/>
          <w:color w:val="000000"/>
          <w:kern w:val="0"/>
          <w:sz w:val="34"/>
          <w:szCs w:val="34"/>
        </w:rPr>
        <w:t>年民盟南京市委会部门预算安排与支出情况</w:t>
      </w:r>
    </w:p>
    <w:p w14:paraId="5976CA9D">
      <w:pPr>
        <w:keepNext w:val="0"/>
        <w:keepLines w:val="0"/>
        <w:pageBreakBefore w:val="0"/>
        <w:widowControl/>
        <w:kinsoku/>
        <w:wordWrap/>
        <w:overflowPunct/>
        <w:topLinePunct w:val="0"/>
        <w:autoSpaceDE/>
        <w:autoSpaceDN/>
        <w:bidi w:val="0"/>
        <w:adjustRightInd/>
        <w:snapToGrid/>
        <w:spacing w:line="590" w:lineRule="exact"/>
        <w:ind w:firstLine="683" w:firstLineChars="200"/>
        <w:jc w:val="right"/>
        <w:rPr>
          <w:rFonts w:hint="eastAsia" w:ascii="方正仿宋_GB2312" w:hAnsi="方正仿宋_GB2312" w:eastAsia="方正仿宋_GB2312" w:cs="方正仿宋_GB2312"/>
          <w:b/>
          <w:bCs/>
          <w:color w:val="000000"/>
          <w:kern w:val="0"/>
          <w:sz w:val="34"/>
          <w:szCs w:val="34"/>
        </w:rPr>
      </w:pPr>
      <w:r>
        <w:rPr>
          <w:rFonts w:hint="eastAsia" w:ascii="方正仿宋_GB2312" w:hAnsi="方正仿宋_GB2312" w:eastAsia="方正仿宋_GB2312" w:cs="方正仿宋_GB2312"/>
          <w:b/>
          <w:bCs/>
          <w:color w:val="000000"/>
          <w:kern w:val="0"/>
          <w:sz w:val="34"/>
          <w:szCs w:val="34"/>
        </w:rPr>
        <w:t>单位：万元</w:t>
      </w:r>
    </w:p>
    <w:tbl>
      <w:tblPr>
        <w:tblStyle w:val="10"/>
        <w:tblW w:w="994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2025"/>
        <w:gridCol w:w="2355"/>
        <w:gridCol w:w="1950"/>
        <w:gridCol w:w="1995"/>
      </w:tblGrid>
      <w:tr w14:paraId="2D18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7021535C">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支出类别</w:t>
            </w:r>
          </w:p>
        </w:tc>
        <w:tc>
          <w:tcPr>
            <w:tcW w:w="2025" w:type="dxa"/>
          </w:tcPr>
          <w:p w14:paraId="561E1741">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年初预算数</w:t>
            </w:r>
          </w:p>
        </w:tc>
        <w:tc>
          <w:tcPr>
            <w:tcW w:w="2355" w:type="dxa"/>
          </w:tcPr>
          <w:p w14:paraId="4C9674D2">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调整后预算数</w:t>
            </w:r>
          </w:p>
        </w:tc>
        <w:tc>
          <w:tcPr>
            <w:tcW w:w="1950" w:type="dxa"/>
          </w:tcPr>
          <w:p w14:paraId="66FDCDED">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实际支出数</w:t>
            </w:r>
          </w:p>
        </w:tc>
        <w:tc>
          <w:tcPr>
            <w:tcW w:w="1995" w:type="dxa"/>
          </w:tcPr>
          <w:p w14:paraId="491346A2">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预算执行率</w:t>
            </w:r>
          </w:p>
        </w:tc>
      </w:tr>
      <w:tr w14:paraId="147A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1ACF8F17">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基本支出</w:t>
            </w:r>
          </w:p>
        </w:tc>
        <w:tc>
          <w:tcPr>
            <w:tcW w:w="2025" w:type="dxa"/>
          </w:tcPr>
          <w:p w14:paraId="0C6B18F2">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sz w:val="34"/>
                <w:szCs w:val="34"/>
              </w:rPr>
              <w:t>718</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42</w:t>
            </w:r>
          </w:p>
        </w:tc>
        <w:tc>
          <w:tcPr>
            <w:tcW w:w="2355" w:type="dxa"/>
          </w:tcPr>
          <w:p w14:paraId="6A2BDC61">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sz w:val="34"/>
                <w:szCs w:val="34"/>
              </w:rPr>
              <w:t>803</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35</w:t>
            </w:r>
          </w:p>
        </w:tc>
        <w:tc>
          <w:tcPr>
            <w:tcW w:w="1950" w:type="dxa"/>
          </w:tcPr>
          <w:p w14:paraId="37A85982">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sz w:val="34"/>
                <w:szCs w:val="34"/>
              </w:rPr>
              <w:t>796</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44</w:t>
            </w:r>
          </w:p>
        </w:tc>
        <w:tc>
          <w:tcPr>
            <w:tcW w:w="1995" w:type="dxa"/>
          </w:tcPr>
          <w:p w14:paraId="5ADF9A0C">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99</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14</w:t>
            </w:r>
            <w:r>
              <w:rPr>
                <w:rFonts w:hint="eastAsia" w:ascii="方正仿宋_GB2312" w:hAnsi="方正仿宋_GB2312" w:eastAsia="方正仿宋_GB2312" w:cs="方正仿宋_GB2312"/>
                <w:color w:val="000000"/>
                <w:kern w:val="0"/>
                <w:sz w:val="34"/>
                <w:szCs w:val="34"/>
              </w:rPr>
              <w:t>%</w:t>
            </w:r>
          </w:p>
        </w:tc>
      </w:tr>
      <w:tr w14:paraId="2E77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72DB60A1">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项目支出</w:t>
            </w:r>
          </w:p>
        </w:tc>
        <w:tc>
          <w:tcPr>
            <w:tcW w:w="2025" w:type="dxa"/>
          </w:tcPr>
          <w:p w14:paraId="6DDC7A6A">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53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30</w:t>
            </w:r>
          </w:p>
        </w:tc>
        <w:tc>
          <w:tcPr>
            <w:tcW w:w="2355" w:type="dxa"/>
          </w:tcPr>
          <w:p w14:paraId="2874BDE7">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sz w:val="34"/>
                <w:szCs w:val="34"/>
              </w:rPr>
              <w:t>53</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30</w:t>
            </w:r>
          </w:p>
        </w:tc>
        <w:tc>
          <w:tcPr>
            <w:tcW w:w="1950" w:type="dxa"/>
          </w:tcPr>
          <w:p w14:paraId="1272D8E2">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51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04</w:t>
            </w:r>
          </w:p>
        </w:tc>
        <w:tc>
          <w:tcPr>
            <w:tcW w:w="1995" w:type="dxa"/>
          </w:tcPr>
          <w:p w14:paraId="696659F8">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95</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76</w:t>
            </w:r>
            <w:r>
              <w:rPr>
                <w:rFonts w:hint="eastAsia" w:ascii="方正仿宋_GB2312" w:hAnsi="方正仿宋_GB2312" w:eastAsia="方正仿宋_GB2312" w:cs="方正仿宋_GB2312"/>
                <w:color w:val="000000"/>
                <w:kern w:val="0"/>
                <w:sz w:val="34"/>
                <w:szCs w:val="34"/>
              </w:rPr>
              <w:t>%</w:t>
            </w:r>
          </w:p>
        </w:tc>
      </w:tr>
      <w:tr w14:paraId="4F77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33681A01">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其他支出</w:t>
            </w:r>
          </w:p>
        </w:tc>
        <w:tc>
          <w:tcPr>
            <w:tcW w:w="2025" w:type="dxa"/>
          </w:tcPr>
          <w:p w14:paraId="71F2DF35">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0</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00</w:t>
            </w:r>
          </w:p>
        </w:tc>
        <w:tc>
          <w:tcPr>
            <w:tcW w:w="2355" w:type="dxa"/>
          </w:tcPr>
          <w:p w14:paraId="65F2E01B">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34"/>
                <w:szCs w:val="34"/>
              </w:rPr>
            </w:pPr>
            <w:r>
              <w:rPr>
                <w:rFonts w:hint="eastAsia" w:ascii="Times New Roman" w:hAnsi="Times New Roman" w:eastAsia="方正仿宋_GB2312" w:cs="方正仿宋_GB2312"/>
                <w:sz w:val="34"/>
                <w:szCs w:val="34"/>
              </w:rPr>
              <w:t>4</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92</w:t>
            </w:r>
          </w:p>
        </w:tc>
        <w:tc>
          <w:tcPr>
            <w:tcW w:w="1950" w:type="dxa"/>
          </w:tcPr>
          <w:p w14:paraId="5CBBBA26">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92</w:t>
            </w:r>
          </w:p>
        </w:tc>
        <w:tc>
          <w:tcPr>
            <w:tcW w:w="1995" w:type="dxa"/>
          </w:tcPr>
          <w:p w14:paraId="25E318A5">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100</w:t>
            </w:r>
            <w:r>
              <w:rPr>
                <w:rFonts w:hint="eastAsia" w:ascii="方正仿宋_GB2312" w:hAnsi="方正仿宋_GB2312" w:eastAsia="方正仿宋_GB2312" w:cs="方正仿宋_GB2312"/>
                <w:color w:val="000000"/>
                <w:kern w:val="0"/>
                <w:sz w:val="34"/>
                <w:szCs w:val="34"/>
              </w:rPr>
              <w:t>%</w:t>
            </w:r>
          </w:p>
        </w:tc>
      </w:tr>
      <w:tr w14:paraId="74E2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548DA1F6">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合计</w:t>
            </w:r>
          </w:p>
        </w:tc>
        <w:tc>
          <w:tcPr>
            <w:tcW w:w="2025" w:type="dxa"/>
          </w:tcPr>
          <w:p w14:paraId="61EDB66E">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sz w:val="34"/>
                <w:szCs w:val="34"/>
              </w:rPr>
              <w:t>771</w:t>
            </w:r>
            <w:r>
              <w:rPr>
                <w:rFonts w:hint="eastAsia" w:ascii="方正仿宋_GB2312" w:hAnsi="方正仿宋_GB2312" w:eastAsia="方正仿宋_GB2312" w:cs="方正仿宋_GB2312"/>
                <w:sz w:val="34"/>
                <w:szCs w:val="34"/>
              </w:rPr>
              <w:t>.</w:t>
            </w:r>
            <w:r>
              <w:rPr>
                <w:rFonts w:hint="eastAsia" w:ascii="Times New Roman" w:hAnsi="Times New Roman" w:eastAsia="方正仿宋_GB2312" w:cs="方正仿宋_GB2312"/>
                <w:sz w:val="34"/>
                <w:szCs w:val="34"/>
              </w:rPr>
              <w:t>72</w:t>
            </w:r>
          </w:p>
        </w:tc>
        <w:tc>
          <w:tcPr>
            <w:tcW w:w="2355" w:type="dxa"/>
          </w:tcPr>
          <w:p w14:paraId="6FCB2938">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861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57</w:t>
            </w:r>
          </w:p>
        </w:tc>
        <w:tc>
          <w:tcPr>
            <w:tcW w:w="1950" w:type="dxa"/>
          </w:tcPr>
          <w:p w14:paraId="15EDB44C">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852</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40</w:t>
            </w:r>
          </w:p>
        </w:tc>
        <w:tc>
          <w:tcPr>
            <w:tcW w:w="1995" w:type="dxa"/>
          </w:tcPr>
          <w:p w14:paraId="73153288">
            <w:pPr>
              <w:keepNext w:val="0"/>
              <w:keepLines w:val="0"/>
              <w:pageBreakBefore w:val="0"/>
              <w:widowControl/>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98</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94</w:t>
            </w:r>
            <w:r>
              <w:rPr>
                <w:rFonts w:hint="eastAsia" w:ascii="方正仿宋_GB2312" w:hAnsi="方正仿宋_GB2312" w:eastAsia="方正仿宋_GB2312" w:cs="方正仿宋_GB2312"/>
                <w:color w:val="000000"/>
                <w:kern w:val="0"/>
                <w:sz w:val="34"/>
                <w:szCs w:val="34"/>
              </w:rPr>
              <w:t>%</w:t>
            </w:r>
          </w:p>
        </w:tc>
      </w:tr>
    </w:tbl>
    <w:p w14:paraId="34F5EF50">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.“三公”经费情况</w:t>
      </w:r>
    </w:p>
    <w:p w14:paraId="1C16DA88">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中国民主同盟南京市委员会</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年度预算安排“三公”经费</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71</w:t>
      </w:r>
      <w:r>
        <w:rPr>
          <w:rFonts w:hint="eastAsia" w:ascii="方正仿宋_GB2312" w:hAnsi="方正仿宋_GB2312" w:eastAsia="方正仿宋_GB2312" w:cs="方正仿宋_GB2312"/>
          <w:color w:val="000000"/>
          <w:kern w:val="0"/>
          <w:sz w:val="34"/>
          <w:szCs w:val="34"/>
        </w:rPr>
        <w:t>万元，其中：公务用车运行维护费</w:t>
      </w:r>
      <w:r>
        <w:rPr>
          <w:rFonts w:hint="eastAsia" w:ascii="Times New Roman" w:hAnsi="Times New Roman" w:eastAsia="方正仿宋_GB2312" w:cs="方正仿宋_GB2312"/>
          <w:color w:val="000000"/>
          <w:kern w:val="0"/>
          <w:sz w:val="34"/>
          <w:szCs w:val="34"/>
        </w:rPr>
        <w:t>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17</w:t>
      </w:r>
      <w:r>
        <w:rPr>
          <w:rFonts w:hint="eastAsia" w:ascii="方正仿宋_GB2312" w:hAnsi="方正仿宋_GB2312" w:eastAsia="方正仿宋_GB2312" w:cs="方正仿宋_GB2312"/>
          <w:color w:val="000000"/>
          <w:kern w:val="0"/>
          <w:sz w:val="34"/>
          <w:szCs w:val="34"/>
        </w:rPr>
        <w:t>万元，未调整预算；公务接待费</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54</w:t>
      </w:r>
      <w:r>
        <w:rPr>
          <w:rFonts w:hint="eastAsia" w:ascii="方正仿宋_GB2312" w:hAnsi="方正仿宋_GB2312" w:eastAsia="方正仿宋_GB2312" w:cs="方正仿宋_GB2312"/>
          <w:color w:val="000000"/>
          <w:kern w:val="0"/>
          <w:sz w:val="34"/>
          <w:szCs w:val="34"/>
        </w:rPr>
        <w:t>万元，未调整预算。</w:t>
      </w:r>
    </w:p>
    <w:p w14:paraId="7D5F51E3">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年中国民主同盟南京市委员会实际支出“三公”经费</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71</w:t>
      </w:r>
      <w:r>
        <w:rPr>
          <w:rFonts w:hint="eastAsia" w:ascii="方正仿宋_GB2312" w:hAnsi="方正仿宋_GB2312" w:eastAsia="方正仿宋_GB2312" w:cs="方正仿宋_GB2312"/>
          <w:color w:val="000000"/>
          <w:kern w:val="0"/>
          <w:sz w:val="34"/>
          <w:szCs w:val="34"/>
        </w:rPr>
        <w:t>万元，预算执行率</w:t>
      </w:r>
      <w:r>
        <w:rPr>
          <w:rFonts w:hint="eastAsia" w:ascii="Times New Roman" w:hAnsi="Times New Roman" w:eastAsia="方正仿宋_GB2312" w:cs="方正仿宋_GB2312"/>
          <w:color w:val="000000"/>
          <w:kern w:val="0"/>
          <w:sz w:val="34"/>
          <w:szCs w:val="34"/>
        </w:rPr>
        <w:t>36</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31</w:t>
      </w:r>
      <w:r>
        <w:rPr>
          <w:rFonts w:hint="eastAsia" w:ascii="方正仿宋_GB2312" w:hAnsi="方正仿宋_GB2312" w:eastAsia="方正仿宋_GB2312" w:cs="方正仿宋_GB2312"/>
          <w:color w:val="000000"/>
          <w:kern w:val="0"/>
          <w:sz w:val="34"/>
          <w:szCs w:val="34"/>
        </w:rPr>
        <w:t>%。其中：公务用车运行维护费支出</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23</w:t>
      </w:r>
      <w:r>
        <w:rPr>
          <w:rFonts w:hint="eastAsia" w:ascii="方正仿宋_GB2312" w:hAnsi="方正仿宋_GB2312" w:eastAsia="方正仿宋_GB2312" w:cs="方正仿宋_GB2312"/>
          <w:color w:val="000000"/>
          <w:kern w:val="0"/>
          <w:sz w:val="34"/>
          <w:szCs w:val="34"/>
        </w:rPr>
        <w:t>万元，预算执行率</w:t>
      </w:r>
      <w:r>
        <w:rPr>
          <w:rFonts w:hint="eastAsia" w:ascii="Times New Roman" w:hAnsi="Times New Roman" w:eastAsia="方正仿宋_GB2312" w:cs="方正仿宋_GB2312"/>
          <w:color w:val="000000"/>
          <w:kern w:val="0"/>
          <w:sz w:val="34"/>
          <w:szCs w:val="34"/>
        </w:rPr>
        <w:t>38</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80</w:t>
      </w:r>
      <w:r>
        <w:rPr>
          <w:rFonts w:hint="eastAsia" w:ascii="方正仿宋_GB2312" w:hAnsi="方正仿宋_GB2312" w:eastAsia="方正仿宋_GB2312" w:cs="方正仿宋_GB2312"/>
          <w:color w:val="000000"/>
          <w:kern w:val="0"/>
          <w:sz w:val="34"/>
          <w:szCs w:val="34"/>
        </w:rPr>
        <w:t>%；公务接待费</w:t>
      </w:r>
      <w:r>
        <w:rPr>
          <w:rFonts w:hint="eastAsia" w:ascii="Times New Roman" w:hAnsi="Times New Roman" w:eastAsia="方正仿宋_GB2312" w:cs="方正仿宋_GB2312"/>
          <w:color w:val="000000"/>
          <w:kern w:val="0"/>
          <w:sz w:val="34"/>
          <w:szCs w:val="34"/>
        </w:rPr>
        <w:t>0</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48</w:t>
      </w:r>
      <w:r>
        <w:rPr>
          <w:rFonts w:hint="eastAsia" w:ascii="方正仿宋_GB2312" w:hAnsi="方正仿宋_GB2312" w:eastAsia="方正仿宋_GB2312" w:cs="方正仿宋_GB2312"/>
          <w:color w:val="000000"/>
          <w:kern w:val="0"/>
          <w:sz w:val="34"/>
          <w:szCs w:val="34"/>
        </w:rPr>
        <w:t>万元，预算执行率</w:t>
      </w:r>
      <w:r>
        <w:rPr>
          <w:rFonts w:hint="eastAsia" w:ascii="Times New Roman" w:hAnsi="Times New Roman" w:eastAsia="方正仿宋_GB2312" w:cs="方正仿宋_GB2312"/>
          <w:color w:val="000000"/>
          <w:kern w:val="0"/>
          <w:sz w:val="34"/>
          <w:szCs w:val="34"/>
        </w:rPr>
        <w:t>31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17</w:t>
      </w:r>
      <w:r>
        <w:rPr>
          <w:rFonts w:hint="eastAsia" w:ascii="方正仿宋_GB2312" w:hAnsi="方正仿宋_GB2312" w:eastAsia="方正仿宋_GB2312" w:cs="方正仿宋_GB2312"/>
          <w:color w:val="000000"/>
          <w:kern w:val="0"/>
          <w:sz w:val="34"/>
          <w:szCs w:val="34"/>
        </w:rPr>
        <w:t>%。</w:t>
      </w:r>
    </w:p>
    <w:p w14:paraId="7808849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（三）部门（单位）绩效目标</w:t>
      </w:r>
    </w:p>
    <w:p w14:paraId="7DB42992">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.部门中长期目标：</w:t>
      </w:r>
    </w:p>
    <w:p w14:paraId="30348EB9">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加强自身建设，提升政治协商、民主监督、参政议政履职能力。</w:t>
      </w:r>
    </w:p>
    <w:p w14:paraId="5CCCE2C8">
      <w:pPr>
        <w:keepNext w:val="0"/>
        <w:keepLines w:val="0"/>
        <w:pageBreakBefore w:val="0"/>
        <w:kinsoku/>
        <w:wordWrap/>
        <w:overflowPunct/>
        <w:topLinePunct w:val="0"/>
        <w:autoSpaceDE/>
        <w:autoSpaceDN/>
        <w:bidi w:val="0"/>
        <w:adjustRightInd/>
        <w:snapToGrid/>
        <w:spacing w:line="590" w:lineRule="exact"/>
        <w:ind w:firstLine="683" w:firstLineChars="200"/>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.年度目标：</w:t>
      </w:r>
    </w:p>
    <w:p w14:paraId="295BDEC5">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）加强自身建设，打造过硬队伍</w:t>
      </w:r>
    </w:p>
    <w:p w14:paraId="048D2653">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班子建设持续加强，计划走进江宁、浦口和高淳三个区级组织，完成基层全走遍的目标。组织发展大力挖掘代表性人士、保证主界别占比，高质量完成盟省委指标任务。队伍建设下大力气推进，为</w:t>
      </w:r>
      <w:r>
        <w:rPr>
          <w:rFonts w:hint="eastAsia" w:ascii="Times New Roman" w:hAnsi="Times New Roman" w:eastAsia="方正仿宋_GB2312" w:cs="方正仿宋_GB2312"/>
          <w:color w:val="000000"/>
          <w:kern w:val="0"/>
          <w:sz w:val="34"/>
          <w:szCs w:val="34"/>
        </w:rPr>
        <w:t>2026</w:t>
      </w:r>
      <w:r>
        <w:rPr>
          <w:rFonts w:hint="eastAsia" w:ascii="方正仿宋_GB2312" w:hAnsi="方正仿宋_GB2312" w:eastAsia="方正仿宋_GB2312" w:cs="方正仿宋_GB2312"/>
          <w:color w:val="000000"/>
          <w:kern w:val="0"/>
          <w:sz w:val="34"/>
          <w:szCs w:val="34"/>
        </w:rPr>
        <w:t>年市委会换届做好充足人才准备。机关建设继续以制度为先，打造一支素质高、作风正、战斗力强的干部队伍。</w:t>
      </w:r>
    </w:p>
    <w:p w14:paraId="73A84C58">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2</w:t>
      </w:r>
      <w:r>
        <w:rPr>
          <w:rFonts w:hint="eastAsia" w:ascii="方正仿宋_GB2312" w:hAnsi="方正仿宋_GB2312" w:eastAsia="方正仿宋_GB2312" w:cs="方正仿宋_GB2312"/>
          <w:color w:val="000000"/>
          <w:kern w:val="0"/>
          <w:sz w:val="34"/>
          <w:szCs w:val="34"/>
        </w:rPr>
        <w:t>）巩固教育成果，赓续宁盟传统</w:t>
      </w:r>
    </w:p>
    <w:p w14:paraId="6D8A7BF1">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民盟市委会将学习贯彻中共二十届三中全会精神作为当前和今后一个时期的重大政治任务，持续加强理论武装，不断提高政治站位。</w:t>
      </w:r>
      <w:r>
        <w:rPr>
          <w:rFonts w:hint="eastAsia" w:ascii="Times New Roman" w:hAnsi="Times New Roman" w:eastAsia="方正仿宋_GB2312" w:cs="方正仿宋_GB2312"/>
          <w:color w:val="000000"/>
          <w:kern w:val="0"/>
          <w:sz w:val="34"/>
          <w:szCs w:val="34"/>
        </w:rPr>
        <w:t>2026</w:t>
      </w:r>
      <w:r>
        <w:rPr>
          <w:rFonts w:hint="eastAsia" w:ascii="方正仿宋_GB2312" w:hAnsi="方正仿宋_GB2312" w:eastAsia="方正仿宋_GB2312" w:cs="方正仿宋_GB2312"/>
          <w:color w:val="000000"/>
          <w:kern w:val="0"/>
          <w:sz w:val="34"/>
          <w:szCs w:val="34"/>
        </w:rPr>
        <w:t>年是民盟南京地方组织成立八十周年，</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年将以准备庆祝活动为契机，系统梳理南京民盟历史、深度挖掘南京民盟传统，扩大对外宣传力度，努力唱响南京民盟好声音。</w:t>
      </w:r>
    </w:p>
    <w:p w14:paraId="54704A30">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w:t>
      </w:r>
      <w:r>
        <w:rPr>
          <w:rFonts w:hint="eastAsia" w:ascii="方正仿宋_GB2312" w:hAnsi="方正仿宋_GB2312" w:eastAsia="方正仿宋_GB2312" w:cs="方正仿宋_GB2312"/>
          <w:color w:val="000000"/>
          <w:kern w:val="0"/>
          <w:sz w:val="34"/>
          <w:szCs w:val="34"/>
        </w:rPr>
        <w:t>）提升履职水平，增强服务成效</w:t>
      </w:r>
    </w:p>
    <w:p w14:paraId="5883891B">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优化专委会结构、落实调研跟踪推进制度，提升参政骨干队伍建设水平和调研报告质量。由社会法制委员会承办</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度行知论坛，广征论文，挖掘参政新星。信息工作发挥现有平台作用，不断提高信息采用率。社会服务继续做好传统优势品牌，包括与贵州鸭池中学的教育帮扶，向已签约的监狱、戒毒所提供力所能及的服务，同时发挥陶行知服务基金作用，探索社会服务新领域。</w:t>
      </w:r>
    </w:p>
    <w:p w14:paraId="7C66865F">
      <w:pPr>
        <w:keepNext w:val="0"/>
        <w:keepLines w:val="0"/>
        <w:pageBreakBefore w:val="0"/>
        <w:kinsoku/>
        <w:wordWrap/>
        <w:overflowPunct/>
        <w:topLinePunct w:val="0"/>
        <w:autoSpaceDE/>
        <w:autoSpaceDN/>
        <w:bidi w:val="0"/>
        <w:adjustRightInd/>
        <w:snapToGrid/>
        <w:spacing w:line="590" w:lineRule="exact"/>
        <w:ind w:firstLine="680" w:firstLineChars="200"/>
        <w:rPr>
          <w:rFonts w:hint="eastAsia" w:ascii="黑体" w:hAnsi="黑体" w:eastAsia="黑体" w:cs="黑体"/>
          <w:kern w:val="0"/>
          <w:sz w:val="34"/>
          <w:szCs w:val="34"/>
        </w:rPr>
      </w:pPr>
      <w:r>
        <w:rPr>
          <w:rFonts w:hint="eastAsia" w:ascii="黑体" w:hAnsi="黑体" w:eastAsia="黑体" w:cs="黑体"/>
          <w:color w:val="000000"/>
          <w:kern w:val="0"/>
          <w:sz w:val="34"/>
          <w:szCs w:val="34"/>
        </w:rPr>
        <w:t>二、评价结论</w:t>
      </w:r>
    </w:p>
    <w:p w14:paraId="10250D9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（一）评价对象与范围</w:t>
      </w:r>
    </w:p>
    <w:p w14:paraId="798BB7D2">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本次评价对象为中国民主同盟南京市委员会</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年部门年初预算安排资金</w:t>
      </w:r>
      <w:r>
        <w:rPr>
          <w:rFonts w:hint="eastAsia" w:ascii="Times New Roman" w:hAnsi="Times New Roman" w:eastAsia="方正仿宋_GB2312" w:cs="方正仿宋_GB2312"/>
          <w:color w:val="000000"/>
          <w:kern w:val="0"/>
          <w:sz w:val="34"/>
          <w:szCs w:val="34"/>
        </w:rPr>
        <w:t>771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72</w:t>
      </w:r>
      <w:r>
        <w:rPr>
          <w:rFonts w:hint="eastAsia" w:ascii="方正仿宋_GB2312" w:hAnsi="方正仿宋_GB2312" w:eastAsia="方正仿宋_GB2312" w:cs="方正仿宋_GB2312"/>
          <w:color w:val="000000"/>
          <w:kern w:val="0"/>
          <w:sz w:val="34"/>
          <w:szCs w:val="34"/>
        </w:rPr>
        <w:t>万元，评价时段为</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月</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日至</w:t>
      </w:r>
      <w:r>
        <w:rPr>
          <w:rFonts w:hint="eastAsia" w:ascii="Times New Roman" w:hAnsi="Times New Roman" w:eastAsia="方正仿宋_GB2312" w:cs="方正仿宋_GB2312"/>
          <w:color w:val="000000"/>
          <w:kern w:val="0"/>
          <w:sz w:val="34"/>
          <w:szCs w:val="34"/>
        </w:rPr>
        <w:t>12</w:t>
      </w:r>
      <w:r>
        <w:rPr>
          <w:rFonts w:hint="eastAsia" w:ascii="方正仿宋_GB2312" w:hAnsi="方正仿宋_GB2312" w:eastAsia="方正仿宋_GB2312" w:cs="方正仿宋_GB2312"/>
          <w:color w:val="000000"/>
          <w:kern w:val="0"/>
          <w:sz w:val="34"/>
          <w:szCs w:val="34"/>
        </w:rPr>
        <w:t>月</w:t>
      </w:r>
      <w:r>
        <w:rPr>
          <w:rFonts w:hint="eastAsia" w:ascii="Times New Roman" w:hAnsi="Times New Roman" w:eastAsia="方正仿宋_GB2312" w:cs="方正仿宋_GB2312"/>
          <w:color w:val="000000"/>
          <w:kern w:val="0"/>
          <w:sz w:val="34"/>
          <w:szCs w:val="34"/>
        </w:rPr>
        <w:t>31</w:t>
      </w:r>
      <w:r>
        <w:rPr>
          <w:rFonts w:hint="eastAsia" w:ascii="方正仿宋_GB2312" w:hAnsi="方正仿宋_GB2312" w:eastAsia="方正仿宋_GB2312" w:cs="方正仿宋_GB2312"/>
          <w:color w:val="000000"/>
          <w:kern w:val="0"/>
          <w:sz w:val="34"/>
          <w:szCs w:val="34"/>
        </w:rPr>
        <w:t>日，其中：基本支出</w:t>
      </w:r>
      <w:r>
        <w:rPr>
          <w:rFonts w:hint="eastAsia" w:ascii="Times New Roman" w:hAnsi="Times New Roman" w:eastAsia="方正仿宋_GB2312" w:cs="方正仿宋_GB2312"/>
          <w:color w:val="000000"/>
          <w:kern w:val="0"/>
          <w:sz w:val="34"/>
          <w:szCs w:val="34"/>
        </w:rPr>
        <w:t>718</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42</w:t>
      </w:r>
      <w:r>
        <w:rPr>
          <w:rFonts w:hint="eastAsia" w:ascii="方正仿宋_GB2312" w:hAnsi="方正仿宋_GB2312" w:eastAsia="方正仿宋_GB2312" w:cs="方正仿宋_GB2312"/>
          <w:color w:val="000000"/>
          <w:kern w:val="0"/>
          <w:sz w:val="34"/>
          <w:szCs w:val="34"/>
        </w:rPr>
        <w:t>万元，项目支出</w:t>
      </w:r>
      <w:r>
        <w:rPr>
          <w:rFonts w:hint="eastAsia" w:ascii="Times New Roman" w:hAnsi="Times New Roman" w:eastAsia="方正仿宋_GB2312" w:cs="方正仿宋_GB2312"/>
          <w:color w:val="000000"/>
          <w:kern w:val="0"/>
          <w:sz w:val="34"/>
          <w:szCs w:val="34"/>
        </w:rPr>
        <w:t>53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30</w:t>
      </w:r>
      <w:r>
        <w:rPr>
          <w:rFonts w:hint="eastAsia" w:ascii="方正仿宋_GB2312" w:hAnsi="方正仿宋_GB2312" w:eastAsia="方正仿宋_GB2312" w:cs="方正仿宋_GB2312"/>
          <w:color w:val="000000"/>
          <w:kern w:val="0"/>
          <w:sz w:val="34"/>
          <w:szCs w:val="34"/>
        </w:rPr>
        <w:t>万元；调整后预算调整后收入</w:t>
      </w:r>
      <w:r>
        <w:rPr>
          <w:rFonts w:hint="eastAsia" w:ascii="Times New Roman" w:hAnsi="Times New Roman" w:eastAsia="方正仿宋_GB2312" w:cs="方正仿宋_GB2312"/>
          <w:color w:val="000000"/>
          <w:kern w:val="0"/>
          <w:sz w:val="34"/>
          <w:szCs w:val="34"/>
        </w:rPr>
        <w:t>861</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57</w:t>
      </w:r>
      <w:r>
        <w:rPr>
          <w:rFonts w:hint="eastAsia" w:ascii="方正仿宋_GB2312" w:hAnsi="方正仿宋_GB2312" w:eastAsia="方正仿宋_GB2312" w:cs="方正仿宋_GB2312"/>
          <w:color w:val="000000"/>
          <w:kern w:val="0"/>
          <w:sz w:val="34"/>
          <w:szCs w:val="34"/>
        </w:rPr>
        <w:t>万元，其中：基本支出</w:t>
      </w:r>
      <w:r>
        <w:rPr>
          <w:rFonts w:hint="eastAsia" w:ascii="Times New Roman" w:hAnsi="Times New Roman" w:eastAsia="方正仿宋_GB2312" w:cs="方正仿宋_GB2312"/>
          <w:color w:val="000000"/>
          <w:kern w:val="0"/>
          <w:sz w:val="34"/>
          <w:szCs w:val="34"/>
        </w:rPr>
        <w:t>803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35</w:t>
      </w:r>
      <w:r>
        <w:rPr>
          <w:rFonts w:hint="eastAsia" w:ascii="方正仿宋_GB2312" w:hAnsi="方正仿宋_GB2312" w:eastAsia="方正仿宋_GB2312" w:cs="方正仿宋_GB2312"/>
          <w:color w:val="000000"/>
          <w:kern w:val="0"/>
          <w:sz w:val="34"/>
          <w:szCs w:val="34"/>
        </w:rPr>
        <w:t>万元，项目支出</w:t>
      </w:r>
      <w:r>
        <w:rPr>
          <w:rFonts w:hint="eastAsia" w:ascii="Times New Roman" w:hAnsi="Times New Roman" w:eastAsia="方正仿宋_GB2312" w:cs="方正仿宋_GB2312"/>
          <w:color w:val="000000"/>
          <w:kern w:val="0"/>
          <w:sz w:val="34"/>
          <w:szCs w:val="34"/>
        </w:rPr>
        <w:t>53</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30</w:t>
      </w:r>
      <w:r>
        <w:rPr>
          <w:rFonts w:hint="eastAsia" w:ascii="方正仿宋_GB2312" w:hAnsi="方正仿宋_GB2312" w:eastAsia="方正仿宋_GB2312" w:cs="方正仿宋_GB2312"/>
          <w:color w:val="000000"/>
          <w:kern w:val="0"/>
          <w:sz w:val="34"/>
          <w:szCs w:val="34"/>
        </w:rPr>
        <w:t>万元，其他支出</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w:t>
      </w:r>
      <w:r>
        <w:rPr>
          <w:rFonts w:hint="eastAsia" w:ascii="Times New Roman" w:hAnsi="Times New Roman" w:eastAsia="方正仿宋_GB2312" w:cs="方正仿宋_GB2312"/>
          <w:color w:val="000000"/>
          <w:kern w:val="0"/>
          <w:sz w:val="34"/>
          <w:szCs w:val="34"/>
        </w:rPr>
        <w:t>92</w:t>
      </w:r>
      <w:r>
        <w:rPr>
          <w:rFonts w:hint="eastAsia" w:ascii="方正仿宋_GB2312" w:hAnsi="方正仿宋_GB2312" w:eastAsia="方正仿宋_GB2312" w:cs="方正仿宋_GB2312"/>
          <w:color w:val="000000"/>
          <w:kern w:val="0"/>
          <w:sz w:val="34"/>
          <w:szCs w:val="34"/>
        </w:rPr>
        <w:t>万元。</w:t>
      </w:r>
    </w:p>
    <w:p w14:paraId="57432A47">
      <w:pPr>
        <w:keepNext w:val="0"/>
        <w:keepLines w:val="0"/>
        <w:pageBreakBefore w:val="0"/>
        <w:widowControl/>
        <w:numPr>
          <w:ilvl w:val="0"/>
          <w:numId w:val="2"/>
        </w:numPr>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评价结论</w:t>
      </w:r>
    </w:p>
    <w:p w14:paraId="5EEE0043">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自评价工作小组采用定量分析和定性分析相结合的方法，从部门基本情况、部门支出情况、部门管理情况、部门履职等几个方面进行了综合评价。我单位严格遵守《中华人民共和国会计法》《中华人民共和国预算法》《行政单位财务规则》等法律和财政部及省财政厅、市财政局有关财政财务规章，规范财政资金管理，量入为出，统筹兼顾，突出重点，讲究实效，防范风险，合理使用各项资金，确保了我会预算管理的成效，全年预算支出整体受控，自评价得分</w:t>
      </w:r>
      <w:r>
        <w:rPr>
          <w:rFonts w:hint="eastAsia" w:ascii="Times New Roman" w:hAnsi="Times New Roman" w:eastAsia="方正仿宋_GB2312" w:cs="方正仿宋_GB2312"/>
          <w:color w:val="000000"/>
          <w:kern w:val="0"/>
          <w:sz w:val="34"/>
          <w:szCs w:val="34"/>
        </w:rPr>
        <w:t>99</w:t>
      </w:r>
      <w:r>
        <w:rPr>
          <w:rFonts w:hint="eastAsia" w:ascii="方正仿宋_GB2312" w:hAnsi="方正仿宋_GB2312" w:eastAsia="方正仿宋_GB2312" w:cs="方正仿宋_GB2312"/>
          <w:color w:val="000000"/>
          <w:kern w:val="0"/>
          <w:sz w:val="34"/>
          <w:szCs w:val="34"/>
        </w:rPr>
        <w:t>分。</w:t>
      </w:r>
    </w:p>
    <w:p w14:paraId="092F82E6">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黑体" w:hAnsi="黑体" w:eastAsia="黑体" w:cs="黑体"/>
          <w:color w:val="000000"/>
          <w:kern w:val="0"/>
          <w:sz w:val="34"/>
          <w:szCs w:val="34"/>
        </w:rPr>
      </w:pPr>
      <w:r>
        <w:rPr>
          <w:rFonts w:hint="eastAsia" w:ascii="黑体" w:hAnsi="黑体" w:eastAsia="黑体" w:cs="黑体"/>
          <w:color w:val="000000"/>
          <w:kern w:val="0"/>
          <w:sz w:val="34"/>
          <w:szCs w:val="34"/>
        </w:rPr>
        <w:t>三、部门履职成效</w:t>
      </w:r>
    </w:p>
    <w:p w14:paraId="33781D73">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（一）思想宣传，凝心铸魂</w:t>
      </w:r>
    </w:p>
    <w:p w14:paraId="451B8688">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.常抓理论学习。</w:t>
      </w:r>
      <w:r>
        <w:rPr>
          <w:rFonts w:hint="eastAsia" w:ascii="方正仿宋_GB2312" w:hAnsi="方正仿宋_GB2312" w:eastAsia="方正仿宋_GB2312" w:cs="方正仿宋_GB2312"/>
          <w:color w:val="000000"/>
          <w:kern w:val="0"/>
          <w:sz w:val="34"/>
          <w:szCs w:val="34"/>
        </w:rPr>
        <w:t>积极发挥盟市委理论学习中心组“头雁”示范引领作用，制定全年思想学习计划，全面把握意识形态工作；重点抓好领导班子、基层组织骨干、机关干部三个层面的思想政治学习工作，利用主委会议、常委会会议、盟务工作会议、暑期骨干学习班、每周处长例会、全体机关干部会议等，第一时间组织全国政协常委、市委会主委金石和全国人大代表、市委会副主委宋燕传达全国两会精神，发动盟员撰写学习心得体会。机关宣传干部积极参加市委统战部组织的宣传工作专题培训。</w:t>
      </w:r>
    </w:p>
    <w:p w14:paraId="31F10D8A">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配合“学规定、强作风、树形象”主题教育深入开展，加强民盟传统教育，发挥南京民盟微信公众号的优势，及时推送相关学习材料和基层工作动态，对全市基层组织和盟员加强主题教育的思想引领以及盟的优良传统教育工作；组织丰富多彩的文化活动，积极参与民盟中央组织的全国民盟组织“盟员说盟史”主题微视频大赛，制作《走近先生——陶行知》专题教育片，获得民盟中央二等奖、江苏民盟一等奖；组织盟员参加市委统战部纪念“五一口号发布</w:t>
      </w:r>
      <w:r>
        <w:rPr>
          <w:rFonts w:hint="eastAsia" w:ascii="Times New Roman" w:hAnsi="Times New Roman" w:eastAsia="方正仿宋_GB2312" w:cs="方正仿宋_GB2312"/>
          <w:color w:val="000000"/>
          <w:kern w:val="0"/>
          <w:sz w:val="34"/>
          <w:szCs w:val="34"/>
        </w:rPr>
        <w:t>77</w:t>
      </w:r>
      <w:r>
        <w:rPr>
          <w:rFonts w:hint="eastAsia" w:ascii="方正仿宋_GB2312" w:hAnsi="方正仿宋_GB2312" w:eastAsia="方正仿宋_GB2312" w:cs="方正仿宋_GB2312"/>
          <w:color w:val="000000"/>
          <w:kern w:val="0"/>
          <w:sz w:val="34"/>
          <w:szCs w:val="34"/>
        </w:rPr>
        <w:t>周年”“薪火传承守初心  凝智聚力挑大梁”主题演讲比赛，并获第二名。今年，市委会获得盟中央表彰的“民盟思想政治建设和宣传工作先进集体”荣誉称号。</w:t>
      </w:r>
    </w:p>
    <w:p w14:paraId="5D7FA50A">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.筑牢思想防线。</w:t>
      </w:r>
      <w:r>
        <w:rPr>
          <w:rFonts w:hint="eastAsia" w:ascii="方正仿宋_GB2312" w:hAnsi="方正仿宋_GB2312" w:eastAsia="方正仿宋_GB2312" w:cs="方正仿宋_GB2312"/>
          <w:color w:val="000000"/>
          <w:kern w:val="0"/>
          <w:sz w:val="34"/>
          <w:szCs w:val="34"/>
        </w:rPr>
        <w:t>领导班子高度重视意识形态工作，成立由主委任组长的意识形态工作小组，班子成员分工负责，主委会坚持每季度分析研判意识形态形势。针对相关网络舆情案例，深入开展“以案促改”专项整改，及时组织各基层委员会负责人召开紧急视频会议，传达上级指示精神，全面部署工作要求。制定并向全市基层组织下发《南京民盟盟员网络行为规定》，并对基层组织、盟员的网络社交群、关注量较多的盟员自媒体账号加强管控和引导。发挥南京民盟微信公众号宣传阵地作用，加强对盟员的思想政治引领，将意识形态工作纳入领导班子年终述职与民主生活会对照检查内容，着力构建长效管理机制，巩固共同思想基础，切实保证意识形态安全。</w:t>
      </w:r>
    </w:p>
    <w:p w14:paraId="47A16643">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3</w:t>
      </w:r>
      <w:r>
        <w:rPr>
          <w:rFonts w:hint="eastAsia" w:ascii="方正仿宋_GB2312" w:hAnsi="方正仿宋_GB2312" w:eastAsia="方正仿宋_GB2312" w:cs="方正仿宋_GB2312"/>
          <w:b/>
          <w:bCs/>
          <w:color w:val="000000"/>
          <w:kern w:val="0"/>
          <w:sz w:val="34"/>
          <w:szCs w:val="34"/>
        </w:rPr>
        <w:t>.加强阵地建设。</w:t>
      </w:r>
      <w:r>
        <w:rPr>
          <w:rFonts w:hint="eastAsia" w:ascii="方正仿宋_GB2312" w:hAnsi="方正仿宋_GB2312" w:eastAsia="方正仿宋_GB2312" w:cs="方正仿宋_GB2312"/>
          <w:color w:val="000000"/>
          <w:kern w:val="0"/>
          <w:sz w:val="34"/>
          <w:szCs w:val="34"/>
        </w:rPr>
        <w:t>成功推动中共代表团梅园新村纪念馆获批“民盟传统教育基地”，并配合多地盟组织前往梅园新村纪念馆开展学习教育；指导玄武民盟在“小红梅”挂牌建立盟员之家，做好内部布展；继续发挥“行知园”等民盟传统教育基地作用，开展清明祭扫陶行知墓、参观师德教育纪念馆等现场教育活动等。</w:t>
      </w:r>
    </w:p>
    <w:p w14:paraId="09112C98">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4</w:t>
      </w:r>
      <w:r>
        <w:rPr>
          <w:rFonts w:hint="eastAsia" w:ascii="方正仿宋_GB2312" w:hAnsi="方正仿宋_GB2312" w:eastAsia="方正仿宋_GB2312" w:cs="方正仿宋_GB2312"/>
          <w:b/>
          <w:bCs/>
          <w:color w:val="000000"/>
          <w:kern w:val="0"/>
          <w:sz w:val="34"/>
          <w:szCs w:val="34"/>
        </w:rPr>
        <w:t>.唱响宣传强音。</w:t>
      </w:r>
      <w:r>
        <w:rPr>
          <w:rFonts w:hint="eastAsia" w:ascii="方正仿宋_GB2312" w:hAnsi="方正仿宋_GB2312" w:eastAsia="方正仿宋_GB2312" w:cs="方正仿宋_GB2312"/>
          <w:color w:val="000000"/>
          <w:kern w:val="0"/>
          <w:sz w:val="34"/>
          <w:szCs w:val="34"/>
        </w:rPr>
        <w:t>加强微信公众号的前期策划和推广工作，制定重点推送月度计划，全年推送微信文章</w:t>
      </w:r>
      <w:r>
        <w:rPr>
          <w:rFonts w:hint="eastAsia" w:ascii="Times New Roman" w:hAnsi="Times New Roman" w:eastAsia="方正仿宋_GB2312" w:cs="方正仿宋_GB2312"/>
          <w:color w:val="000000"/>
          <w:kern w:val="0"/>
          <w:sz w:val="34"/>
          <w:szCs w:val="34"/>
        </w:rPr>
        <w:t>118</w:t>
      </w:r>
      <w:r>
        <w:rPr>
          <w:rFonts w:hint="eastAsia" w:ascii="方正仿宋_GB2312" w:hAnsi="方正仿宋_GB2312" w:eastAsia="方正仿宋_GB2312" w:cs="方正仿宋_GB2312"/>
          <w:color w:val="000000"/>
          <w:kern w:val="0"/>
          <w:sz w:val="34"/>
          <w:szCs w:val="34"/>
        </w:rPr>
        <w:t>篇次（待今年结束再统计）；成立新媒体宣传骨干微信群，提升新时代宣传干部理论水平和实践能力，在《群言》《挚友》《南京日报》《扬子晚报》等媒体网站上发稿</w:t>
      </w:r>
      <w:r>
        <w:rPr>
          <w:rFonts w:hint="eastAsia" w:ascii="Times New Roman" w:hAnsi="Times New Roman" w:eastAsia="方正仿宋_GB2312" w:cs="方正仿宋_GB2312"/>
          <w:color w:val="000000"/>
          <w:kern w:val="0"/>
          <w:sz w:val="34"/>
          <w:szCs w:val="34"/>
        </w:rPr>
        <w:t>493</w:t>
      </w:r>
      <w:r>
        <w:rPr>
          <w:rFonts w:hint="eastAsia" w:ascii="方正仿宋_GB2312" w:hAnsi="方正仿宋_GB2312" w:eastAsia="方正仿宋_GB2312" w:cs="方正仿宋_GB2312"/>
          <w:color w:val="000000"/>
          <w:kern w:val="0"/>
          <w:sz w:val="34"/>
          <w:szCs w:val="34"/>
        </w:rPr>
        <w:t>篇次；及时更新《南京民盟》网站、机关文化廊和盟员之家展板资料；继续做好“口述历史”工作，出刊《历史的记忆（第二辑）》，讲好南京民盟故事。同时，积极配合市政协完成“民主党派志”“政协之家”和市委统战部“松风阁”的素材整理和更新工作。南京民盟微信公众号在《团结报》评出的全国民主党派地市级组织公众号“三十大靓号”中继续保持第四的优异名次，在全国民盟地市级组织中蝉联第一。</w:t>
      </w:r>
    </w:p>
    <w:p w14:paraId="65370D5C">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5</w:t>
      </w:r>
      <w:r>
        <w:rPr>
          <w:rFonts w:hint="eastAsia" w:ascii="方正仿宋_GB2312" w:hAnsi="方正仿宋_GB2312" w:eastAsia="方正仿宋_GB2312" w:cs="方正仿宋_GB2312"/>
          <w:b/>
          <w:bCs/>
          <w:color w:val="000000"/>
          <w:kern w:val="0"/>
          <w:sz w:val="34"/>
          <w:szCs w:val="34"/>
        </w:rPr>
        <w:t>.重视理论研究。</w:t>
      </w:r>
      <w:r>
        <w:rPr>
          <w:rFonts w:hint="eastAsia" w:ascii="方正仿宋_GB2312" w:hAnsi="方正仿宋_GB2312" w:eastAsia="方正仿宋_GB2312" w:cs="方正仿宋_GB2312"/>
          <w:color w:val="000000"/>
          <w:kern w:val="0"/>
          <w:sz w:val="34"/>
          <w:szCs w:val="34"/>
        </w:rPr>
        <w:t>发挥理论研究会作用，积极开展参政党理论研究工作，向民盟中央第十六届文化论坛报送论文</w:t>
      </w:r>
      <w:r>
        <w:rPr>
          <w:rFonts w:hint="eastAsia" w:ascii="Times New Roman" w:hAnsi="Times New Roman" w:eastAsia="方正仿宋_GB2312" w:cs="方正仿宋_GB2312"/>
          <w:color w:val="000000"/>
          <w:kern w:val="0"/>
          <w:sz w:val="34"/>
          <w:szCs w:val="34"/>
        </w:rPr>
        <w:t>5</w:t>
      </w:r>
      <w:r>
        <w:rPr>
          <w:rFonts w:hint="eastAsia" w:ascii="方正仿宋_GB2312" w:hAnsi="方正仿宋_GB2312" w:eastAsia="方正仿宋_GB2312" w:cs="方正仿宋_GB2312"/>
          <w:color w:val="000000"/>
          <w:kern w:val="0"/>
          <w:sz w:val="34"/>
          <w:szCs w:val="34"/>
        </w:rPr>
        <w:t>篇；向民盟中央、民盟省委、省政协报送有关“参政党理论研究”“中国式现代化江苏新探索”“民盟重要代表人物”的理论研究文章和征文；申报市委统战部理论研究课题《民主党派基层组织与党组织构建共建机制的实践与思考》；向民盟先贤支部联席会议报送交流文章</w:t>
      </w:r>
      <w:r>
        <w:rPr>
          <w:rFonts w:hint="eastAsia" w:ascii="Times New Roman" w:hAnsi="Times New Roman" w:eastAsia="方正仿宋_GB2312" w:cs="方正仿宋_GB2312"/>
          <w:color w:val="000000"/>
          <w:kern w:val="0"/>
          <w:sz w:val="34"/>
          <w:szCs w:val="34"/>
        </w:rPr>
        <w:t>2</w:t>
      </w:r>
      <w:r>
        <w:rPr>
          <w:rFonts w:hint="eastAsia" w:ascii="方正仿宋_GB2312" w:hAnsi="方正仿宋_GB2312" w:eastAsia="方正仿宋_GB2312" w:cs="方正仿宋_GB2312"/>
          <w:color w:val="000000"/>
          <w:kern w:val="0"/>
          <w:sz w:val="34"/>
          <w:szCs w:val="34"/>
        </w:rPr>
        <w:t>篇。</w:t>
      </w:r>
    </w:p>
    <w:p w14:paraId="2715BDBC">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（二）自身建设，强基固本</w:t>
      </w:r>
    </w:p>
    <w:p w14:paraId="4291A951">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.推进班子建设。</w:t>
      </w:r>
      <w:r>
        <w:rPr>
          <w:rFonts w:hint="eastAsia" w:ascii="Times New Roman" w:hAnsi="Times New Roman" w:eastAsia="方正仿宋_GB2312" w:cs="方正仿宋_GB2312"/>
          <w:color w:val="000000"/>
          <w:kern w:val="0"/>
          <w:sz w:val="34"/>
          <w:szCs w:val="34"/>
        </w:rPr>
        <w:t>3</w:t>
      </w:r>
      <w:r>
        <w:rPr>
          <w:rFonts w:hint="eastAsia" w:ascii="方正仿宋_GB2312" w:hAnsi="方正仿宋_GB2312" w:eastAsia="方正仿宋_GB2312" w:cs="方正仿宋_GB2312"/>
          <w:color w:val="000000"/>
          <w:kern w:val="0"/>
          <w:sz w:val="34"/>
          <w:szCs w:val="34"/>
        </w:rPr>
        <w:t>月</w:t>
      </w:r>
      <w:r>
        <w:rPr>
          <w:rFonts w:hint="eastAsia" w:ascii="Times New Roman" w:hAnsi="Times New Roman" w:eastAsia="方正仿宋_GB2312" w:cs="方正仿宋_GB2312"/>
          <w:color w:val="000000"/>
          <w:kern w:val="0"/>
          <w:sz w:val="34"/>
          <w:szCs w:val="34"/>
        </w:rPr>
        <w:t>27</w:t>
      </w:r>
      <w:r>
        <w:rPr>
          <w:rFonts w:hint="eastAsia" w:ascii="方正仿宋_GB2312" w:hAnsi="方正仿宋_GB2312" w:eastAsia="方正仿宋_GB2312" w:cs="方正仿宋_GB2312"/>
          <w:color w:val="000000"/>
          <w:kern w:val="0"/>
          <w:sz w:val="34"/>
          <w:szCs w:val="34"/>
        </w:rPr>
        <w:t>日，按照组织程序，顺利完成民盟南京市委领导班子成员届中调整工作，补充具有代表性的新鲜血液，进一步完善班子配置。为加强班子联系基层密度和黏度，根据班子成员本职工作和专业特长，重新制定领导班子对口联系基层分工。定期召开主委会、常委会，对重大盟务进行集体审议。全年举办两次“主委下基层”活动，先后走进高淳、浦口，领导班子当面向骨干盟员征集意见建议，了解基层情况。于年末召开领导班子民主生活会并进行民主评议，不断推进班子建设走深走实。</w:t>
      </w:r>
    </w:p>
    <w:p w14:paraId="10F15F2A">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.确保发展质量。</w:t>
      </w:r>
      <w:r>
        <w:rPr>
          <w:rFonts w:hint="eastAsia" w:ascii="方正仿宋_GB2312" w:hAnsi="方正仿宋_GB2312" w:eastAsia="方正仿宋_GB2312" w:cs="方正仿宋_GB2312"/>
          <w:color w:val="000000"/>
          <w:kern w:val="0"/>
          <w:sz w:val="34"/>
          <w:szCs w:val="34"/>
        </w:rPr>
        <w:t>面对代表人士和重点分工领域人才储备不足的客观态势，以及民盟省委指标提升的压力，市委会优先聚焦发展质量， 突出民盟在教育文化领域的传统优势，全年发展盟员</w:t>
      </w:r>
      <w:r>
        <w:rPr>
          <w:rFonts w:hint="eastAsia" w:ascii="Times New Roman" w:hAnsi="Times New Roman" w:eastAsia="方正仿宋_GB2312" w:cs="方正仿宋_GB2312"/>
          <w:color w:val="000000"/>
          <w:kern w:val="0"/>
          <w:sz w:val="34"/>
          <w:szCs w:val="34"/>
        </w:rPr>
        <w:t>80</w:t>
      </w:r>
      <w:r>
        <w:rPr>
          <w:rFonts w:hint="eastAsia" w:ascii="方正仿宋_GB2312" w:hAnsi="方正仿宋_GB2312" w:eastAsia="方正仿宋_GB2312" w:cs="方正仿宋_GB2312"/>
          <w:color w:val="000000"/>
          <w:kern w:val="0"/>
          <w:sz w:val="34"/>
          <w:szCs w:val="34"/>
        </w:rPr>
        <w:t>人，其中代表人士</w:t>
      </w:r>
      <w:r>
        <w:rPr>
          <w:rFonts w:hint="eastAsia" w:ascii="Times New Roman" w:hAnsi="Times New Roman" w:eastAsia="方正仿宋_GB2312" w:cs="方正仿宋_GB2312"/>
          <w:color w:val="000000"/>
          <w:kern w:val="0"/>
          <w:sz w:val="34"/>
          <w:szCs w:val="34"/>
        </w:rPr>
        <w:t>5</w:t>
      </w:r>
      <w:r>
        <w:rPr>
          <w:rFonts w:hint="eastAsia" w:ascii="方正仿宋_GB2312" w:hAnsi="方正仿宋_GB2312" w:eastAsia="方正仿宋_GB2312" w:cs="方正仿宋_GB2312"/>
          <w:color w:val="000000"/>
          <w:kern w:val="0"/>
          <w:sz w:val="34"/>
          <w:szCs w:val="34"/>
        </w:rPr>
        <w:t>人、重点分工领域</w:t>
      </w:r>
      <w:r>
        <w:rPr>
          <w:rFonts w:hint="eastAsia" w:ascii="Times New Roman" w:hAnsi="Times New Roman" w:eastAsia="方正仿宋_GB2312" w:cs="方正仿宋_GB2312"/>
          <w:color w:val="000000"/>
          <w:kern w:val="0"/>
          <w:sz w:val="34"/>
          <w:szCs w:val="34"/>
        </w:rPr>
        <w:t>68</w:t>
      </w:r>
      <w:r>
        <w:rPr>
          <w:rFonts w:hint="eastAsia" w:ascii="方正仿宋_GB2312" w:hAnsi="方正仿宋_GB2312" w:eastAsia="方正仿宋_GB2312" w:cs="方正仿宋_GB2312"/>
          <w:color w:val="000000"/>
          <w:kern w:val="0"/>
          <w:sz w:val="34"/>
          <w:szCs w:val="34"/>
        </w:rPr>
        <w:t>人（占</w:t>
      </w:r>
      <w:r>
        <w:rPr>
          <w:rFonts w:hint="eastAsia" w:ascii="Times New Roman" w:hAnsi="Times New Roman" w:eastAsia="方正仿宋_GB2312" w:cs="方正仿宋_GB2312"/>
          <w:color w:val="000000"/>
          <w:kern w:val="0"/>
          <w:sz w:val="34"/>
          <w:szCs w:val="34"/>
        </w:rPr>
        <w:t>85</w:t>
      </w:r>
      <w:r>
        <w:rPr>
          <w:rFonts w:hint="eastAsia" w:ascii="方正仿宋_GB2312" w:hAnsi="方正仿宋_GB2312" w:eastAsia="方正仿宋_GB2312" w:cs="方正仿宋_GB2312"/>
          <w:color w:val="000000"/>
          <w:kern w:val="0"/>
          <w:sz w:val="34"/>
          <w:szCs w:val="34"/>
        </w:rPr>
        <w:t>%），多人担任全国、省、市级学会、协会的会员以及市人大代表、市青联委员、区政协委员，新发展成员结构体现高质量特征。</w:t>
      </w:r>
    </w:p>
    <w:p w14:paraId="619B6E0A">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3</w:t>
      </w:r>
      <w:r>
        <w:rPr>
          <w:rFonts w:hint="eastAsia" w:ascii="方正仿宋_GB2312" w:hAnsi="方正仿宋_GB2312" w:eastAsia="方正仿宋_GB2312" w:cs="方正仿宋_GB2312"/>
          <w:b/>
          <w:bCs/>
          <w:color w:val="000000"/>
          <w:kern w:val="0"/>
          <w:sz w:val="34"/>
          <w:szCs w:val="34"/>
        </w:rPr>
        <w:t>.健全后备队伍。</w:t>
      </w:r>
      <w:r>
        <w:rPr>
          <w:rFonts w:hint="eastAsia" w:ascii="方正仿宋_GB2312" w:hAnsi="方正仿宋_GB2312" w:eastAsia="方正仿宋_GB2312" w:cs="方正仿宋_GB2312"/>
          <w:color w:val="000000"/>
          <w:kern w:val="0"/>
          <w:sz w:val="34"/>
          <w:szCs w:val="34"/>
        </w:rPr>
        <w:t>召开盟务工作会议，学习传达全国两会精神和民盟中央、省委关于“学规定、强作风、树形象”主题教育文件要求，部署安排民盟南京市委“学规定、强作风、树形象”主题教育活动，加强干部队伍思想作风建设。进一步完善后备人才队伍，细致梳理担任处级及以上实职的</w:t>
      </w:r>
      <w:r>
        <w:rPr>
          <w:rFonts w:hint="eastAsia" w:ascii="Times New Roman" w:hAnsi="Times New Roman" w:eastAsia="方正仿宋_GB2312" w:cs="方正仿宋_GB2312"/>
          <w:color w:val="000000"/>
          <w:kern w:val="0"/>
          <w:sz w:val="34"/>
          <w:szCs w:val="34"/>
        </w:rPr>
        <w:t>70</w:t>
      </w:r>
      <w:r>
        <w:rPr>
          <w:rFonts w:hint="eastAsia" w:ascii="方正仿宋_GB2312" w:hAnsi="方正仿宋_GB2312" w:eastAsia="方正仿宋_GB2312" w:cs="方正仿宋_GB2312"/>
          <w:color w:val="000000"/>
          <w:kern w:val="0"/>
          <w:sz w:val="34"/>
          <w:szCs w:val="34"/>
        </w:rPr>
        <w:t>后、</w:t>
      </w:r>
      <w:r>
        <w:rPr>
          <w:rFonts w:hint="eastAsia" w:ascii="Times New Roman" w:hAnsi="Times New Roman" w:eastAsia="方正仿宋_GB2312" w:cs="方正仿宋_GB2312"/>
          <w:color w:val="000000"/>
          <w:kern w:val="0"/>
          <w:sz w:val="34"/>
          <w:szCs w:val="34"/>
        </w:rPr>
        <w:t>80</w:t>
      </w:r>
      <w:r>
        <w:rPr>
          <w:rFonts w:hint="eastAsia" w:ascii="方正仿宋_GB2312" w:hAnsi="方正仿宋_GB2312" w:eastAsia="方正仿宋_GB2312" w:cs="方正仿宋_GB2312"/>
          <w:color w:val="000000"/>
          <w:kern w:val="0"/>
          <w:sz w:val="34"/>
          <w:szCs w:val="34"/>
        </w:rPr>
        <w:t>后盟员信息，整理近两年新发展盟员中的代表人士情况。梳理</w:t>
      </w:r>
      <w:r>
        <w:rPr>
          <w:rFonts w:hint="eastAsia" w:ascii="Times New Roman" w:hAnsi="Times New Roman" w:eastAsia="方正仿宋_GB2312" w:cs="方正仿宋_GB2312"/>
          <w:color w:val="000000"/>
          <w:kern w:val="0"/>
          <w:sz w:val="34"/>
          <w:szCs w:val="34"/>
        </w:rPr>
        <w:t>2023</w:t>
      </w:r>
      <w:r>
        <w:rPr>
          <w:rFonts w:hint="eastAsia" w:ascii="方正仿宋_GB2312" w:hAnsi="方正仿宋_GB2312" w:eastAsia="方正仿宋_GB2312" w:cs="方正仿宋_GB2312"/>
          <w:color w:val="000000"/>
          <w:kern w:val="0"/>
          <w:sz w:val="34"/>
          <w:szCs w:val="34"/>
        </w:rPr>
        <w:t>年度、</w:t>
      </w:r>
      <w:r>
        <w:rPr>
          <w:rFonts w:hint="eastAsia" w:ascii="Times New Roman" w:hAnsi="Times New Roman" w:eastAsia="方正仿宋_GB2312" w:cs="方正仿宋_GB2312"/>
          <w:color w:val="000000"/>
          <w:kern w:val="0"/>
          <w:sz w:val="34"/>
          <w:szCs w:val="34"/>
        </w:rPr>
        <w:t>2024</w:t>
      </w:r>
      <w:r>
        <w:rPr>
          <w:rFonts w:hint="eastAsia" w:ascii="方正仿宋_GB2312" w:hAnsi="方正仿宋_GB2312" w:eastAsia="方正仿宋_GB2312" w:cs="方正仿宋_GB2312"/>
          <w:color w:val="000000"/>
          <w:kern w:val="0"/>
          <w:sz w:val="34"/>
          <w:szCs w:val="34"/>
        </w:rPr>
        <w:t>年度新盟员中的经济界人士，为民盟市委企联会吸纳新成员提供支持。加强盟员培训，先后组织基层组织负责人、骨干盟员、新盟员</w:t>
      </w:r>
      <w:r>
        <w:rPr>
          <w:rFonts w:hint="eastAsia" w:ascii="Times New Roman" w:hAnsi="Times New Roman" w:eastAsia="方正仿宋_GB2312" w:cs="方正仿宋_GB2312"/>
          <w:color w:val="000000"/>
          <w:kern w:val="0"/>
          <w:sz w:val="34"/>
          <w:szCs w:val="34"/>
        </w:rPr>
        <w:t>20</w:t>
      </w:r>
      <w:r>
        <w:rPr>
          <w:rFonts w:hint="eastAsia" w:ascii="方正仿宋_GB2312" w:hAnsi="方正仿宋_GB2312" w:eastAsia="方正仿宋_GB2312" w:cs="方正仿宋_GB2312"/>
          <w:color w:val="000000"/>
          <w:kern w:val="0"/>
          <w:sz w:val="34"/>
          <w:szCs w:val="34"/>
        </w:rPr>
        <w:t>多人参加省盟、市委统战部举办的培训班。</w:t>
      </w:r>
      <w:r>
        <w:rPr>
          <w:rFonts w:hint="eastAsia" w:ascii="Times New Roman" w:hAnsi="Times New Roman" w:eastAsia="方正仿宋_GB2312" w:cs="方正仿宋_GB2312"/>
          <w:color w:val="000000"/>
          <w:kern w:val="0"/>
          <w:sz w:val="34"/>
          <w:szCs w:val="34"/>
        </w:rPr>
        <w:t>4</w:t>
      </w:r>
      <w:r>
        <w:rPr>
          <w:rFonts w:hint="eastAsia" w:ascii="方正仿宋_GB2312" w:hAnsi="方正仿宋_GB2312" w:eastAsia="方正仿宋_GB2312" w:cs="方正仿宋_GB2312"/>
          <w:color w:val="000000"/>
          <w:kern w:val="0"/>
          <w:sz w:val="34"/>
          <w:szCs w:val="34"/>
        </w:rPr>
        <w:t>月</w:t>
      </w:r>
      <w:r>
        <w:rPr>
          <w:rFonts w:hint="eastAsia" w:ascii="Times New Roman" w:hAnsi="Times New Roman" w:eastAsia="方正仿宋_GB2312" w:cs="方正仿宋_GB2312"/>
          <w:color w:val="000000"/>
          <w:kern w:val="0"/>
          <w:sz w:val="34"/>
          <w:szCs w:val="34"/>
        </w:rPr>
        <w:t>3</w:t>
      </w:r>
      <w:r>
        <w:rPr>
          <w:rFonts w:hint="eastAsia" w:ascii="方正仿宋_GB2312" w:hAnsi="方正仿宋_GB2312" w:eastAsia="方正仿宋_GB2312" w:cs="方正仿宋_GB2312"/>
          <w:color w:val="000000"/>
          <w:kern w:val="0"/>
          <w:sz w:val="34"/>
          <w:szCs w:val="34"/>
        </w:rPr>
        <w:t>日举办薪火支部盟员培训班，</w:t>
      </w:r>
      <w:r>
        <w:rPr>
          <w:rFonts w:hint="eastAsia" w:ascii="Times New Roman" w:hAnsi="Times New Roman" w:eastAsia="方正仿宋_GB2312" w:cs="方正仿宋_GB2312"/>
          <w:color w:val="000000"/>
          <w:kern w:val="0"/>
          <w:sz w:val="34"/>
          <w:szCs w:val="34"/>
        </w:rPr>
        <w:t>90</w:t>
      </w:r>
      <w:r>
        <w:rPr>
          <w:rFonts w:hint="eastAsia" w:ascii="方正仿宋_GB2312" w:hAnsi="方正仿宋_GB2312" w:eastAsia="方正仿宋_GB2312" w:cs="方正仿宋_GB2312"/>
          <w:color w:val="000000"/>
          <w:kern w:val="0"/>
          <w:sz w:val="34"/>
          <w:szCs w:val="34"/>
        </w:rPr>
        <w:t>多名新盟员参加。</w:t>
      </w:r>
    </w:p>
    <w:p w14:paraId="0DE5AF69">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4</w:t>
      </w:r>
      <w:r>
        <w:rPr>
          <w:rFonts w:hint="eastAsia" w:ascii="方正仿宋_GB2312" w:hAnsi="方正仿宋_GB2312" w:eastAsia="方正仿宋_GB2312" w:cs="方正仿宋_GB2312"/>
          <w:b/>
          <w:bCs/>
          <w:color w:val="000000"/>
          <w:kern w:val="0"/>
          <w:sz w:val="34"/>
          <w:szCs w:val="34"/>
        </w:rPr>
        <w:t>.加强基层换届。</w:t>
      </w:r>
      <w:r>
        <w:rPr>
          <w:rFonts w:hint="eastAsia" w:ascii="方正仿宋_GB2312" w:hAnsi="方正仿宋_GB2312" w:eastAsia="方正仿宋_GB2312" w:cs="方正仿宋_GB2312"/>
          <w:color w:val="000000"/>
          <w:kern w:val="0"/>
          <w:sz w:val="34"/>
          <w:szCs w:val="34"/>
        </w:rPr>
        <w:t>进一步规范基层组织换届工作，全年顺利完成了陶行知、秦淮区综合二、金陵汇文学校、财经学校、鼓楼医院集团、鼓楼区综合一、鼓楼区综合二、鼓楼区综合三、第二医院、建邺高级中学、南京大学附属中学、南京铁道职业技术学院、文枢初级中学、南京师范大学附属中学新城初级中学、扬子石化、中华中学等支部的换届，对民盟南京市玄武区基层委员会、六合区基层委员会副主任委员进行了调整。加强薪火支部活力，年初组织召开新盟员见面会，通过毛遂自荐，推选出第七届薪火支部委员会委员，搭建薪火支部领导班子。举办第六届薪火支部毕业典礼暨薪火传递仪式，顺利完成一年一度的新老成员交接工作。</w:t>
      </w:r>
    </w:p>
    <w:p w14:paraId="47A91B59">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5</w:t>
      </w:r>
      <w:r>
        <w:rPr>
          <w:rFonts w:hint="eastAsia" w:ascii="方正仿宋_GB2312" w:hAnsi="方正仿宋_GB2312" w:eastAsia="方正仿宋_GB2312" w:cs="方正仿宋_GB2312"/>
          <w:b/>
          <w:bCs/>
          <w:color w:val="000000"/>
          <w:kern w:val="0"/>
          <w:sz w:val="34"/>
          <w:szCs w:val="34"/>
        </w:rPr>
        <w:t>.注重内部监督。</w:t>
      </w:r>
      <w:r>
        <w:rPr>
          <w:rFonts w:hint="eastAsia" w:ascii="方正仿宋_GB2312" w:hAnsi="方正仿宋_GB2312" w:eastAsia="方正仿宋_GB2312" w:cs="方正仿宋_GB2312"/>
          <w:color w:val="000000"/>
          <w:kern w:val="0"/>
          <w:sz w:val="34"/>
          <w:szCs w:val="34"/>
        </w:rPr>
        <w:t>创新推行“委员包干责任制”，构建“委员包片、责任到人”的精细化监督机制。向全市各基层组织印发通知，明确监督委员会职责与基层配合要求，公布联系分工及联系方式，构建覆盖全市的监督联络网络。聚焦盟费收缴开展专项监督，监督委员会通过核验台账、查摆问题、督促整改，为民盟市委进一步强化基层组织管理提供助力。参加民盟市委领导班子调整、民主生活会、主委下基层、历次主常全会议、盟务工作会议、骨干培训等重要会议和活动，切实履行监督职能。严格依规开展违法违纪盟员处分工作，维护盟纪盟规严肃性与权威性。依托各类培训及基层走访，常态化开展纪律、廉洁、警示及民盟传统教育，引导盟员知敬畏、存戒惧、守底线。</w:t>
      </w:r>
    </w:p>
    <w:p w14:paraId="46D8C3ED">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6</w:t>
      </w:r>
      <w:r>
        <w:rPr>
          <w:rFonts w:hint="eastAsia" w:ascii="方正仿宋_GB2312" w:hAnsi="方正仿宋_GB2312" w:eastAsia="方正仿宋_GB2312" w:cs="方正仿宋_GB2312"/>
          <w:b/>
          <w:bCs/>
          <w:color w:val="000000"/>
          <w:kern w:val="0"/>
          <w:sz w:val="34"/>
          <w:szCs w:val="34"/>
        </w:rPr>
        <w:t>.做好机关建设。</w:t>
      </w:r>
      <w:r>
        <w:rPr>
          <w:rFonts w:hint="eastAsia" w:ascii="方正仿宋_GB2312" w:hAnsi="方正仿宋_GB2312" w:eastAsia="方正仿宋_GB2312" w:cs="方正仿宋_GB2312"/>
          <w:color w:val="000000"/>
          <w:kern w:val="0"/>
          <w:sz w:val="34"/>
          <w:szCs w:val="34"/>
        </w:rPr>
        <w:t>以“三型机关”为目标，重点推进“制度型”机关建设，根据新形势新情况，结合审计、纪检部门提出的新要求，重新梳理、修改机关既有规章，出台新的制度，整理为《南京民盟制度汇编》（</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年版），为机关运行和盟务开展提供有效保障。接待民盟中央及各地市民盟组织来宁调研座谈近十次，并向民盟中央报送机关建设材料。开展学习、考察等各类活动，不断提高机关干部综合素质。组织盟员参加</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年度全市统战系统乒乓球比赛，赛出风格赛出水平。</w:t>
      </w:r>
    </w:p>
    <w:p w14:paraId="478F8881">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（三）参政履职，有所作为</w:t>
      </w:r>
    </w:p>
    <w:p w14:paraId="24243643">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.强化议政成效。</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年，民盟市委会在市政协十五届三次全会上提交大会口头发言</w:t>
      </w:r>
      <w:r>
        <w:rPr>
          <w:rFonts w:hint="eastAsia" w:ascii="Times New Roman" w:hAnsi="Times New Roman" w:eastAsia="方正仿宋_GB2312" w:cs="方正仿宋_GB2312"/>
          <w:color w:val="000000"/>
          <w:kern w:val="0"/>
          <w:sz w:val="34"/>
          <w:szCs w:val="34"/>
        </w:rPr>
        <w:t>1</w:t>
      </w:r>
      <w:r>
        <w:rPr>
          <w:rFonts w:hint="eastAsia" w:ascii="方正仿宋_GB2312" w:hAnsi="方正仿宋_GB2312" w:eastAsia="方正仿宋_GB2312" w:cs="方正仿宋_GB2312"/>
          <w:color w:val="000000"/>
          <w:kern w:val="0"/>
          <w:sz w:val="34"/>
          <w:szCs w:val="34"/>
        </w:rPr>
        <w:t>篇，书面发言</w:t>
      </w:r>
      <w:r>
        <w:rPr>
          <w:rFonts w:hint="eastAsia" w:ascii="Times New Roman" w:hAnsi="Times New Roman" w:eastAsia="方正仿宋_GB2312" w:cs="方正仿宋_GB2312"/>
          <w:color w:val="000000"/>
          <w:kern w:val="0"/>
          <w:sz w:val="34"/>
          <w:szCs w:val="34"/>
        </w:rPr>
        <w:t>5</w:t>
      </w:r>
      <w:r>
        <w:rPr>
          <w:rFonts w:hint="eastAsia" w:ascii="方正仿宋_GB2312" w:hAnsi="方正仿宋_GB2312" w:eastAsia="方正仿宋_GB2312" w:cs="方正仿宋_GB2312"/>
          <w:color w:val="000000"/>
          <w:kern w:val="0"/>
          <w:sz w:val="34"/>
          <w:szCs w:val="34"/>
        </w:rPr>
        <w:t>篇，集体提案</w:t>
      </w:r>
      <w:r>
        <w:rPr>
          <w:rFonts w:hint="eastAsia" w:ascii="Times New Roman" w:hAnsi="Times New Roman" w:eastAsia="方正仿宋_GB2312" w:cs="方正仿宋_GB2312"/>
          <w:color w:val="000000"/>
          <w:kern w:val="0"/>
          <w:sz w:val="34"/>
          <w:szCs w:val="34"/>
        </w:rPr>
        <w:t>13</w:t>
      </w:r>
      <w:r>
        <w:rPr>
          <w:rFonts w:hint="eastAsia" w:ascii="方正仿宋_GB2312" w:hAnsi="方正仿宋_GB2312" w:eastAsia="方正仿宋_GB2312" w:cs="方正仿宋_GB2312"/>
          <w:color w:val="000000"/>
          <w:kern w:val="0"/>
          <w:sz w:val="34"/>
          <w:szCs w:val="34"/>
        </w:rPr>
        <w:t>件，界别组提案</w:t>
      </w:r>
      <w:r>
        <w:rPr>
          <w:rFonts w:hint="eastAsia" w:ascii="Times New Roman" w:hAnsi="Times New Roman" w:eastAsia="方正仿宋_GB2312" w:cs="方正仿宋_GB2312"/>
          <w:color w:val="000000"/>
          <w:kern w:val="0"/>
          <w:sz w:val="34"/>
          <w:szCs w:val="34"/>
        </w:rPr>
        <w:t>2</w:t>
      </w:r>
      <w:r>
        <w:rPr>
          <w:rFonts w:hint="eastAsia" w:ascii="方正仿宋_GB2312" w:hAnsi="方正仿宋_GB2312" w:eastAsia="方正仿宋_GB2312" w:cs="方正仿宋_GB2312"/>
          <w:color w:val="000000"/>
          <w:kern w:val="0"/>
          <w:sz w:val="34"/>
          <w:szCs w:val="34"/>
        </w:rPr>
        <w:t>件。内容涵盖长江文化、新质生产力、优化营商环境、文旅发展、教育、医疗等多个领域。市政协常委、民盟南京市委会青年工作委员会主任陆俊代表民盟市委会作大会发言，提出聚焦新能源智能网联汽车领域以新质生产力推进产业强市建设的建议。</w:t>
      </w:r>
    </w:p>
    <w:p w14:paraId="2BD1C93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民盟市委会提交的集体提案《关于斩断资金链，推进电信诈骗联防共治向纵深发展的提案》《关于推动校地更优合作，高质量共建卓越工程师学院的提案》被评为重点提案，由相关市领导进行专题督办；李越峰的《关于南京在人工智能产业高质量发展布局的提案》被评为重点提案，由市政协主席会议专题督办；张弛提交的《关于儿童青少年近视防控关口前移的提案》《关于我市建立孤独症儿童特殊教育学校的提案》被评为重点民生微提案，分别由市政协王立平主席和陈勇副主席督办。</w:t>
      </w:r>
    </w:p>
    <w:p w14:paraId="30EDC8DA">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市政协对</w:t>
      </w:r>
      <w:r>
        <w:rPr>
          <w:rFonts w:hint="eastAsia" w:ascii="Times New Roman" w:hAnsi="Times New Roman" w:eastAsia="方正仿宋_GB2312" w:cs="方正仿宋_GB2312"/>
          <w:color w:val="000000"/>
          <w:kern w:val="0"/>
          <w:sz w:val="34"/>
          <w:szCs w:val="34"/>
        </w:rPr>
        <w:t>2024</w:t>
      </w:r>
      <w:r>
        <w:rPr>
          <w:rFonts w:hint="eastAsia" w:ascii="方正仿宋_GB2312" w:hAnsi="方正仿宋_GB2312" w:eastAsia="方正仿宋_GB2312" w:cs="方正仿宋_GB2312"/>
          <w:color w:val="000000"/>
          <w:kern w:val="0"/>
          <w:sz w:val="34"/>
          <w:szCs w:val="34"/>
        </w:rPr>
        <w:t>年的提案进行了表彰，评选出</w:t>
      </w:r>
      <w:r>
        <w:rPr>
          <w:rFonts w:hint="eastAsia" w:ascii="Times New Roman" w:hAnsi="Times New Roman" w:eastAsia="方正仿宋_GB2312" w:cs="方正仿宋_GB2312"/>
          <w:color w:val="000000"/>
          <w:kern w:val="0"/>
          <w:sz w:val="34"/>
          <w:szCs w:val="34"/>
        </w:rPr>
        <w:t>57</w:t>
      </w:r>
      <w:r>
        <w:rPr>
          <w:rFonts w:hint="eastAsia" w:ascii="方正仿宋_GB2312" w:hAnsi="方正仿宋_GB2312" w:eastAsia="方正仿宋_GB2312" w:cs="方正仿宋_GB2312"/>
          <w:color w:val="000000"/>
          <w:kern w:val="0"/>
          <w:sz w:val="34"/>
          <w:szCs w:val="34"/>
        </w:rPr>
        <w:t>件市政协提案典型案例，其中民盟市委会的三件集体提案《关于落实企业安全生产主体责任，筑牢高质量发展安全基础的建议》《关于双核驱动，培育壮大全链式南京生物医药产业集群的建议》《关于提升基层治理能力，推动垃圾分类工作常态长效的建议》以及盟员张莅坤的《关于建立无差别、更包容的南京国际旅游支付服务体系的建议》、闫瑾的《关于推动南京文化演出市场高品质供给，挖掘消费潜能的建议》被评为典型案例。</w:t>
      </w:r>
    </w:p>
    <w:p w14:paraId="4A65120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积极发动基层组织和广大盟员，向民盟省委、市政协、中共市委研究室和市委统战部等部门提交“十五五”规划建议编制的有关意见建议，充分发挥民主党派的独特优势。</w:t>
      </w:r>
    </w:p>
    <w:p w14:paraId="215362A0">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.抓好调查研究。</w:t>
      </w:r>
      <w:r>
        <w:rPr>
          <w:rFonts w:hint="eastAsia" w:ascii="方正仿宋_GB2312" w:hAnsi="方正仿宋_GB2312" w:eastAsia="方正仿宋_GB2312" w:cs="方正仿宋_GB2312"/>
          <w:color w:val="000000"/>
          <w:kern w:val="0"/>
          <w:sz w:val="34"/>
          <w:szCs w:val="34"/>
        </w:rPr>
        <w:t>围绕市委、市政府中心工作和各专委会的调研选题情况，确定了今年盟市委的重点调研课题为《聚焦营商环境提优与差异化发展，塑造特色园区发展新优势》，成立了以青年工作委员会为主的课题组，并邀请相关领域的专家学者共同参与，高质量完成了调研任务。</w:t>
      </w:r>
    </w:p>
    <w:p w14:paraId="7564E960">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受中共南京市委委托，民盟市委会今年负责承担产城学一体化领域优化营商环境专项民主监督任务。为此成立以金石主委为组长，专职副主委为副组长的工作领导小组，统筹协调此项工作。经过近三个月的努力，形成一份高质量工作报告，为市委、市政府决策提供参考。</w:t>
      </w:r>
    </w:p>
    <w:p w14:paraId="647E226D">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成功申报民盟中央调研课题《深化共建“一带一路”国际合作，推动构建人类命运共同体》，并按时序完成调研报告和政策建议。精心组织，周到安排，圆满完成民盟中央重点课题调研组来宁考察邮轮产业发展问题的调研任务。</w:t>
      </w:r>
    </w:p>
    <w:p w14:paraId="6F49AA3B">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3</w:t>
      </w:r>
      <w:r>
        <w:rPr>
          <w:rFonts w:hint="eastAsia" w:ascii="方正仿宋_GB2312" w:hAnsi="方正仿宋_GB2312" w:eastAsia="方正仿宋_GB2312" w:cs="方正仿宋_GB2312"/>
          <w:b/>
          <w:bCs/>
          <w:color w:val="000000"/>
          <w:kern w:val="0"/>
          <w:sz w:val="34"/>
          <w:szCs w:val="34"/>
        </w:rPr>
        <w:t>.强化信息实效。</w:t>
      </w:r>
      <w:r>
        <w:rPr>
          <w:rFonts w:hint="eastAsia" w:ascii="方正仿宋_GB2312" w:hAnsi="方正仿宋_GB2312" w:eastAsia="方正仿宋_GB2312" w:cs="方正仿宋_GB2312"/>
          <w:color w:val="000000"/>
          <w:kern w:val="0"/>
          <w:sz w:val="34"/>
          <w:szCs w:val="34"/>
        </w:rPr>
        <w:t>全年向民盟中央、民盟省委、市政协、市委统战部共报送社情民意信息</w:t>
      </w:r>
      <w:r>
        <w:rPr>
          <w:rFonts w:hint="eastAsia" w:ascii="Times New Roman" w:hAnsi="Times New Roman" w:eastAsia="方正仿宋_GB2312" w:cs="方正仿宋_GB2312"/>
          <w:color w:val="000000"/>
          <w:kern w:val="0"/>
          <w:sz w:val="34"/>
          <w:szCs w:val="34"/>
        </w:rPr>
        <w:t>130</w:t>
      </w:r>
      <w:r>
        <w:rPr>
          <w:rFonts w:hint="eastAsia" w:ascii="方正仿宋_GB2312" w:hAnsi="方正仿宋_GB2312" w:eastAsia="方正仿宋_GB2312" w:cs="方正仿宋_GB2312"/>
          <w:color w:val="000000"/>
          <w:kern w:val="0"/>
          <w:sz w:val="34"/>
          <w:szCs w:val="34"/>
        </w:rPr>
        <w:t>条。截至目前，全国政协采用</w:t>
      </w:r>
      <w:r>
        <w:rPr>
          <w:rFonts w:hint="eastAsia" w:ascii="Times New Roman" w:hAnsi="Times New Roman" w:eastAsia="方正仿宋_GB2312" w:cs="方正仿宋_GB2312"/>
          <w:color w:val="000000"/>
          <w:kern w:val="0"/>
          <w:sz w:val="34"/>
          <w:szCs w:val="34"/>
        </w:rPr>
        <w:t>5</w:t>
      </w:r>
      <w:r>
        <w:rPr>
          <w:rFonts w:hint="eastAsia" w:ascii="方正仿宋_GB2312" w:hAnsi="方正仿宋_GB2312" w:eastAsia="方正仿宋_GB2312" w:cs="方正仿宋_GB2312"/>
          <w:color w:val="000000"/>
          <w:kern w:val="0"/>
          <w:sz w:val="34"/>
          <w:szCs w:val="34"/>
        </w:rPr>
        <w:t>篇，市政协采用</w:t>
      </w:r>
      <w:r>
        <w:rPr>
          <w:rFonts w:hint="eastAsia" w:ascii="Times New Roman" w:hAnsi="Times New Roman" w:eastAsia="方正仿宋_GB2312" w:cs="方正仿宋_GB2312"/>
          <w:color w:val="000000"/>
          <w:kern w:val="0"/>
          <w:sz w:val="34"/>
          <w:szCs w:val="34"/>
        </w:rPr>
        <w:t>57</w:t>
      </w:r>
      <w:r>
        <w:rPr>
          <w:rFonts w:hint="eastAsia" w:ascii="方正仿宋_GB2312" w:hAnsi="方正仿宋_GB2312" w:eastAsia="方正仿宋_GB2312" w:cs="方正仿宋_GB2312"/>
          <w:color w:val="000000"/>
          <w:kern w:val="0"/>
          <w:sz w:val="34"/>
          <w:szCs w:val="34"/>
        </w:rPr>
        <w:t>篇。其中，主委金石报送的关于教育与就业的社情民意信息被全国政协采用并得到国家领导人批示；盟员张明浩关于水务的信息被省政府主要领导批示；盟员张弛、惠峰、杨峥、潘登、翟佳撰写的社情民意信息得到市领导的批示；盟员赵向军关于产业工人的信息获得江苏省科技智库精品成果。</w:t>
      </w:r>
    </w:p>
    <w:p w14:paraId="6F765210">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作为民盟中央副省级城市信息直报点，市委会在民盟中央</w:t>
      </w: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年度参政议政工作会上，荣获</w:t>
      </w:r>
      <w:r>
        <w:rPr>
          <w:rFonts w:hint="eastAsia" w:ascii="Times New Roman" w:hAnsi="Times New Roman" w:eastAsia="方正仿宋_GB2312" w:cs="方正仿宋_GB2312"/>
          <w:color w:val="000000"/>
          <w:kern w:val="0"/>
          <w:sz w:val="34"/>
          <w:szCs w:val="34"/>
        </w:rPr>
        <w:t>2024</w:t>
      </w:r>
      <w:r>
        <w:rPr>
          <w:rFonts w:hint="eastAsia" w:ascii="方正仿宋_GB2312" w:hAnsi="方正仿宋_GB2312" w:eastAsia="方正仿宋_GB2312" w:cs="方正仿宋_GB2312"/>
          <w:color w:val="000000"/>
          <w:kern w:val="0"/>
          <w:sz w:val="34"/>
          <w:szCs w:val="34"/>
        </w:rPr>
        <w:t>年度反映社情民意信息工作先进集体三等奖。</w:t>
      </w:r>
    </w:p>
    <w:p w14:paraId="583DC0F8">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围绕年初制定的信息工作“提质增效”及基层支部信息清零的目标，市委会线上线下结合开展分层分类培训，创新召开信息咨询座谈会，组织成贤智库信息专家和信息骨干盟员与信息用稿单位面对面交流。</w:t>
      </w:r>
    </w:p>
    <w:p w14:paraId="1005C3C8">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b/>
          <w:bCs/>
          <w:color w:val="000000"/>
          <w:kern w:val="0"/>
          <w:sz w:val="34"/>
          <w:szCs w:val="34"/>
        </w:rPr>
        <w:t>4</w:t>
      </w:r>
      <w:r>
        <w:rPr>
          <w:rFonts w:hint="eastAsia" w:ascii="方正仿宋_GB2312" w:hAnsi="方正仿宋_GB2312" w:eastAsia="方正仿宋_GB2312" w:cs="方正仿宋_GB2312"/>
          <w:b/>
          <w:bCs/>
          <w:color w:val="000000"/>
          <w:kern w:val="0"/>
          <w:sz w:val="34"/>
          <w:szCs w:val="34"/>
        </w:rPr>
        <w:t>.做优社会服务。</w:t>
      </w:r>
      <w:r>
        <w:rPr>
          <w:rFonts w:hint="eastAsia" w:ascii="方正仿宋_GB2312" w:hAnsi="方正仿宋_GB2312" w:eastAsia="方正仿宋_GB2312" w:cs="方正仿宋_GB2312"/>
          <w:color w:val="000000"/>
          <w:kern w:val="0"/>
          <w:sz w:val="34"/>
          <w:szCs w:val="34"/>
        </w:rPr>
        <w:t>全年共开展各类社会服务活动</w:t>
      </w:r>
      <w:r>
        <w:rPr>
          <w:rFonts w:hint="eastAsia" w:ascii="Times New Roman" w:hAnsi="Times New Roman" w:eastAsia="方正仿宋_GB2312" w:cs="方正仿宋_GB2312"/>
          <w:color w:val="000000"/>
          <w:kern w:val="0"/>
          <w:sz w:val="34"/>
          <w:szCs w:val="34"/>
        </w:rPr>
        <w:t>130</w:t>
      </w:r>
      <w:r>
        <w:rPr>
          <w:rFonts w:hint="eastAsia" w:ascii="方正仿宋_GB2312" w:hAnsi="方正仿宋_GB2312" w:eastAsia="方正仿宋_GB2312" w:cs="方正仿宋_GB2312"/>
          <w:color w:val="000000"/>
          <w:kern w:val="0"/>
          <w:sz w:val="34"/>
          <w:szCs w:val="34"/>
        </w:rPr>
        <w:t>余场，参与人次达</w:t>
      </w:r>
      <w:r>
        <w:rPr>
          <w:rFonts w:hint="eastAsia" w:ascii="Times New Roman" w:hAnsi="Times New Roman" w:eastAsia="方正仿宋_GB2312" w:cs="方正仿宋_GB2312"/>
          <w:color w:val="000000"/>
          <w:kern w:val="0"/>
          <w:sz w:val="34"/>
          <w:szCs w:val="34"/>
        </w:rPr>
        <w:t>300</w:t>
      </w:r>
      <w:r>
        <w:rPr>
          <w:rFonts w:hint="eastAsia" w:ascii="方正仿宋_GB2312" w:hAnsi="方正仿宋_GB2312" w:eastAsia="方正仿宋_GB2312" w:cs="方正仿宋_GB2312"/>
          <w:color w:val="000000"/>
          <w:kern w:val="0"/>
          <w:sz w:val="34"/>
          <w:szCs w:val="34"/>
        </w:rPr>
        <w:t>余人次，受益对象超过</w:t>
      </w:r>
      <w:r>
        <w:rPr>
          <w:rFonts w:hint="eastAsia" w:ascii="Times New Roman" w:hAnsi="Times New Roman" w:eastAsia="方正仿宋_GB2312" w:cs="方正仿宋_GB2312"/>
          <w:color w:val="000000"/>
          <w:kern w:val="0"/>
          <w:sz w:val="34"/>
          <w:szCs w:val="34"/>
        </w:rPr>
        <w:t>2600</w:t>
      </w:r>
      <w:r>
        <w:rPr>
          <w:rFonts w:hint="eastAsia" w:ascii="方正仿宋_GB2312" w:hAnsi="方正仿宋_GB2312" w:eastAsia="方正仿宋_GB2312" w:cs="方正仿宋_GB2312"/>
          <w:color w:val="000000"/>
          <w:kern w:val="0"/>
          <w:sz w:val="34"/>
          <w:szCs w:val="34"/>
        </w:rPr>
        <w:t>人。进监帮教方面，赴高淳监狱开展“以文化人 照亮新生”主题文化帮教，组织盟员走进未成年犯管教所、南京监狱、女子监狱等开展义诊、送春联、送艺术活动，惠及</w:t>
      </w:r>
      <w:r>
        <w:rPr>
          <w:rFonts w:hint="eastAsia" w:ascii="Times New Roman" w:hAnsi="Times New Roman" w:eastAsia="方正仿宋_GB2312" w:cs="方正仿宋_GB2312"/>
          <w:color w:val="000000"/>
          <w:kern w:val="0"/>
          <w:sz w:val="34"/>
          <w:szCs w:val="34"/>
        </w:rPr>
        <w:t>1400</w:t>
      </w:r>
      <w:r>
        <w:rPr>
          <w:rFonts w:hint="eastAsia" w:ascii="方正仿宋_GB2312" w:hAnsi="方正仿宋_GB2312" w:eastAsia="方正仿宋_GB2312" w:cs="方正仿宋_GB2312"/>
          <w:color w:val="000000"/>
          <w:kern w:val="0"/>
          <w:sz w:val="34"/>
          <w:szCs w:val="34"/>
        </w:rPr>
        <w:t>余人；社区服务方面，走进龙袍街道长江社区、三牌楼社区、白果社区等开展写春联送祝福、慰问困难群众、义诊等活动</w:t>
      </w:r>
      <w:r>
        <w:rPr>
          <w:rFonts w:hint="eastAsia" w:ascii="Times New Roman" w:hAnsi="Times New Roman" w:eastAsia="方正仿宋_GB2312" w:cs="方正仿宋_GB2312"/>
          <w:color w:val="000000"/>
          <w:kern w:val="0"/>
          <w:sz w:val="34"/>
          <w:szCs w:val="34"/>
        </w:rPr>
        <w:t>30</w:t>
      </w:r>
      <w:r>
        <w:rPr>
          <w:rFonts w:hint="eastAsia" w:ascii="方正仿宋_GB2312" w:hAnsi="方正仿宋_GB2312" w:eastAsia="方正仿宋_GB2312" w:cs="方正仿宋_GB2312"/>
          <w:color w:val="000000"/>
          <w:kern w:val="0"/>
          <w:sz w:val="34"/>
          <w:szCs w:val="34"/>
        </w:rPr>
        <w:t>余次，切实为社区居民解决实际困难，传递温暖；教育帮扶方面，组织活动</w:t>
      </w:r>
      <w:r>
        <w:rPr>
          <w:rFonts w:hint="eastAsia" w:ascii="Times New Roman" w:hAnsi="Times New Roman" w:eastAsia="方正仿宋_GB2312" w:cs="方正仿宋_GB2312"/>
          <w:color w:val="000000"/>
          <w:kern w:val="0"/>
          <w:sz w:val="34"/>
          <w:szCs w:val="34"/>
        </w:rPr>
        <w:t>10</w:t>
      </w:r>
      <w:r>
        <w:rPr>
          <w:rFonts w:hint="eastAsia" w:ascii="方正仿宋_GB2312" w:hAnsi="方正仿宋_GB2312" w:eastAsia="方正仿宋_GB2312" w:cs="方正仿宋_GB2312"/>
          <w:color w:val="000000"/>
          <w:kern w:val="0"/>
          <w:sz w:val="34"/>
          <w:szCs w:val="34"/>
        </w:rPr>
        <w:t>余场，包括捐赠文化体育用品、举办艺术展、爱心义卖，助力贫困学生和特殊儿童成长。充分发挥南京民盟陶行知社会服务基金作用，为民盟栖霞区基层委员会的星宝艺术展和孙宁生老师茨营中学助学项目提供经费支持。今年南京民盟获得民盟中央颁发的“社会服务工作先进集体”称号、再获民盟中央和司法部共同颁发的“黄丝带进监帮教先进集体”称号。</w:t>
      </w:r>
    </w:p>
    <w:p w14:paraId="07229190">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盟员在本职岗位和盟内屡获殊荣。许冰、戴玉田、毕艳、严安、魏双林、张莅坤、张韦华、刘存丽、张婧婧、杨鹏、万宝宁等在本职和盟务工作中获得国家或省级表彰，杨晓莉、苏慧、李幽铮、金颖、王开顺、张强勇、冯俊英、赵爽作为指导教师，带领学生获得各级各类奖项。</w:t>
      </w:r>
    </w:p>
    <w:p w14:paraId="4EE29869">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黑体" w:hAnsi="黑体" w:eastAsia="黑体" w:cs="黑体"/>
          <w:color w:val="000000"/>
          <w:kern w:val="0"/>
          <w:sz w:val="34"/>
          <w:szCs w:val="34"/>
        </w:rPr>
      </w:pPr>
      <w:r>
        <w:rPr>
          <w:rFonts w:hint="eastAsia" w:ascii="黑体" w:hAnsi="黑体" w:eastAsia="黑体" w:cs="黑体"/>
          <w:color w:val="000000"/>
          <w:kern w:val="0"/>
          <w:sz w:val="34"/>
          <w:szCs w:val="34"/>
        </w:rPr>
        <w:t>四、存在问题及原因分析</w:t>
      </w:r>
    </w:p>
    <w:p w14:paraId="5CAA71C2">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（一）预算编制精细化、科学化水平有待提升</w:t>
      </w:r>
    </w:p>
    <w:p w14:paraId="2EF251A3">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预算编制测算依据不足、项目明细不清，导致年度执行中出现资金结余沉淀与经费缺口并存的情况。部分指标</w:t>
      </w:r>
      <w:r>
        <w:rPr>
          <w:rFonts w:hint="eastAsia" w:ascii="方正仿宋_GB2312" w:hAnsi="方正仿宋_GB2312" w:eastAsia="方正仿宋_GB2312" w:cs="方正仿宋_GB2312"/>
          <w:color w:val="000000"/>
          <w:kern w:val="0"/>
          <w:sz w:val="34"/>
          <w:szCs w:val="34"/>
          <w:lang w:val="en-US" w:eastAsia="zh-CN"/>
        </w:rPr>
        <w:t>可</w:t>
      </w:r>
      <w:r>
        <w:rPr>
          <w:rFonts w:hint="eastAsia" w:ascii="方正仿宋_GB2312" w:hAnsi="方正仿宋_GB2312" w:eastAsia="方正仿宋_GB2312" w:cs="方正仿宋_GB2312"/>
          <w:color w:val="000000"/>
          <w:kern w:val="0"/>
          <w:sz w:val="34"/>
          <w:szCs w:val="34"/>
        </w:rPr>
        <w:t>量化</w:t>
      </w:r>
      <w:r>
        <w:rPr>
          <w:rFonts w:hint="eastAsia" w:ascii="方正仿宋_GB2312" w:hAnsi="方正仿宋_GB2312" w:eastAsia="方正仿宋_GB2312" w:cs="方正仿宋_GB2312"/>
          <w:color w:val="000000"/>
          <w:kern w:val="0"/>
          <w:sz w:val="34"/>
          <w:szCs w:val="34"/>
          <w:lang w:val="en-US" w:eastAsia="zh-CN"/>
        </w:rPr>
        <w:t>程度不足</w:t>
      </w:r>
      <w:r>
        <w:rPr>
          <w:rFonts w:hint="eastAsia" w:ascii="方正仿宋_GB2312" w:hAnsi="方正仿宋_GB2312" w:eastAsia="方正仿宋_GB2312" w:cs="方正仿宋_GB2312"/>
          <w:color w:val="000000"/>
          <w:kern w:val="0"/>
          <w:sz w:val="34"/>
          <w:szCs w:val="34"/>
        </w:rPr>
        <w:t>、</w:t>
      </w:r>
      <w:r>
        <w:rPr>
          <w:rFonts w:hint="eastAsia" w:ascii="方正仿宋_GB2312" w:hAnsi="方正仿宋_GB2312" w:eastAsia="方正仿宋_GB2312" w:cs="方正仿宋_GB2312"/>
          <w:color w:val="000000"/>
          <w:kern w:val="0"/>
          <w:sz w:val="34"/>
          <w:szCs w:val="34"/>
          <w:lang w:val="en-US" w:eastAsia="zh-CN"/>
        </w:rPr>
        <w:t>量化难度较大，</w:t>
      </w:r>
      <w:r>
        <w:rPr>
          <w:rFonts w:hint="eastAsia" w:ascii="方正仿宋_GB2312" w:hAnsi="方正仿宋_GB2312" w:eastAsia="方正仿宋_GB2312" w:cs="方正仿宋_GB2312"/>
          <w:color w:val="000000"/>
          <w:kern w:val="0"/>
          <w:sz w:val="34"/>
          <w:szCs w:val="34"/>
        </w:rPr>
        <w:t>指标值</w:t>
      </w:r>
      <w:r>
        <w:rPr>
          <w:rFonts w:hint="eastAsia" w:ascii="方正仿宋_GB2312" w:hAnsi="方正仿宋_GB2312" w:eastAsia="方正仿宋_GB2312" w:cs="方正仿宋_GB2312"/>
          <w:color w:val="000000"/>
          <w:kern w:val="0"/>
          <w:sz w:val="34"/>
          <w:szCs w:val="34"/>
          <w:lang w:val="en-US" w:eastAsia="zh-CN"/>
        </w:rPr>
        <w:t>设置较为</w:t>
      </w:r>
      <w:r>
        <w:rPr>
          <w:rFonts w:hint="eastAsia" w:ascii="方正仿宋_GB2312" w:hAnsi="方正仿宋_GB2312" w:eastAsia="方正仿宋_GB2312" w:cs="方正仿宋_GB2312"/>
          <w:color w:val="000000"/>
          <w:kern w:val="0"/>
          <w:sz w:val="34"/>
          <w:szCs w:val="34"/>
        </w:rPr>
        <w:t>宽泛，绩效监控与评价</w:t>
      </w:r>
      <w:r>
        <w:rPr>
          <w:rFonts w:hint="eastAsia" w:ascii="方正仿宋_GB2312" w:hAnsi="方正仿宋_GB2312" w:eastAsia="方正仿宋_GB2312" w:cs="方正仿宋_GB2312"/>
          <w:color w:val="000000"/>
          <w:kern w:val="0"/>
          <w:sz w:val="34"/>
          <w:szCs w:val="34"/>
          <w:lang w:val="en-US" w:eastAsia="zh-CN"/>
        </w:rPr>
        <w:t>不易落地</w:t>
      </w:r>
      <w:r>
        <w:rPr>
          <w:rFonts w:hint="eastAsia" w:ascii="方正仿宋_GB2312" w:hAnsi="方正仿宋_GB2312" w:eastAsia="方正仿宋_GB2312" w:cs="方正仿宋_GB2312"/>
          <w:color w:val="000000"/>
          <w:kern w:val="0"/>
          <w:sz w:val="34"/>
          <w:szCs w:val="34"/>
        </w:rPr>
        <w:t>。</w:t>
      </w:r>
      <w:bookmarkStart w:id="0" w:name="_GoBack"/>
      <w:bookmarkEnd w:id="0"/>
    </w:p>
    <w:p w14:paraId="4EF7A59A">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（二）预算执行进度不均衡，资金使用效率有待提高</w:t>
      </w:r>
    </w:p>
    <w:p w14:paraId="6041910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年度预算执行呈明显“前慢后快”态势，支出重心集中于第四季度，均衡性和及时性不足。零星支出和临时性业务支出管控不够严格，计划性偏弱，资金闲置和使用效率不高的问题依然存在，财政资金效益未能充分释放。</w:t>
      </w:r>
    </w:p>
    <w:p w14:paraId="45CD228D">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（三）全过程绩效管理体系不够完善</w:t>
      </w:r>
    </w:p>
    <w:p w14:paraId="74CF5B4B">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全流程闭环管理机制尚未完全落地，绩效目标完成情况和效益达成情况的动态跟踪与研判不够及时，执行偏差难以早发现、早纠正。绩效自评深度不足，内容多停留于成果梳理，对问题根源和管理短板的剖析不够透彻，自评结果的真实性和精准性有待提升，评价结果的运用也较为有限。</w:t>
      </w:r>
    </w:p>
    <w:p w14:paraId="3B5AEDF7">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（四）绩效结果运用与长效整改机制不健全</w:t>
      </w:r>
    </w:p>
    <w:p w14:paraId="71090997">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绩效评价结果与预算编制、资金分配、工作考核的联动机制不够紧密，“评归评、做归做”的脱节现象仍未根本破解。历年绩效自评发现的问题整改多为阶段性应对，缺乏常态化制度约束，共性问题反复出现。部门全员绩效意识有待增强，部分岗位人员对预算绩效管理政策、流程和要求掌握不够熟练，绩效管理工作整体专业化水平有待提升。</w:t>
      </w:r>
    </w:p>
    <w:p w14:paraId="1DCD1C56">
      <w:pPr>
        <w:pStyle w:val="17"/>
        <w:keepNext w:val="0"/>
        <w:keepLines w:val="0"/>
        <w:pageBreakBefore w:val="0"/>
        <w:numPr>
          <w:ilvl w:val="0"/>
          <w:numId w:val="3"/>
        </w:numPr>
        <w:kinsoku/>
        <w:wordWrap/>
        <w:overflowPunct/>
        <w:topLinePunct w:val="0"/>
        <w:autoSpaceDE/>
        <w:autoSpaceDN/>
        <w:bidi w:val="0"/>
        <w:adjustRightInd/>
        <w:snapToGrid/>
        <w:spacing w:line="590" w:lineRule="exact"/>
        <w:ind w:firstLineChars="0"/>
        <w:rPr>
          <w:rFonts w:hint="eastAsia" w:ascii="黑体" w:hAnsi="黑体" w:eastAsia="黑体" w:cs="黑体"/>
          <w:color w:val="000000"/>
          <w:kern w:val="0"/>
          <w:sz w:val="34"/>
          <w:szCs w:val="34"/>
        </w:rPr>
      </w:pPr>
      <w:r>
        <w:rPr>
          <w:rFonts w:hint="eastAsia" w:ascii="黑体" w:hAnsi="黑体" w:eastAsia="黑体" w:cs="黑体"/>
          <w:color w:val="000000"/>
          <w:kern w:val="0"/>
          <w:sz w:val="34"/>
          <w:szCs w:val="34"/>
        </w:rPr>
        <w:t>有关建议</w:t>
      </w:r>
    </w:p>
    <w:p w14:paraId="1CA146B6">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（一）优化预算管理，提升资金使用效益</w:t>
      </w:r>
    </w:p>
    <w:p w14:paraId="63820201">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强化预算编制的科学性和精细化，在年初预算编制阶段，各业务科室应提前开展项目调研，对资金需求进行充分测算和论证，杜绝“拍脑袋”申报。建立</w:t>
      </w:r>
      <w:r>
        <w:rPr>
          <w:rFonts w:hint="eastAsia" w:ascii="Times New Roman" w:hAnsi="Times New Roman" w:eastAsia="方正仿宋_GB2312" w:cs="方正仿宋_GB2312"/>
          <w:color w:val="000000"/>
          <w:kern w:val="0"/>
          <w:sz w:val="34"/>
          <w:szCs w:val="34"/>
          <w:lang w:eastAsia="zh-CN"/>
        </w:rPr>
        <w:t>办公室</w:t>
      </w:r>
      <w:r>
        <w:rPr>
          <w:rFonts w:hint="eastAsia" w:ascii="方正仿宋_GB2312" w:hAnsi="方正仿宋_GB2312" w:eastAsia="方正仿宋_GB2312" w:cs="方正仿宋_GB2312"/>
          <w:color w:val="000000"/>
          <w:kern w:val="0"/>
          <w:sz w:val="34"/>
          <w:szCs w:val="34"/>
        </w:rPr>
        <w:t>与业务部门的联动协调机制，加强对历史数据的分析运用，提高预算编制的准确性。同时，建立预算编制质量评价机制，对编制偏差率较大的部门和项目进行通报，推动预算编制水平持续提升。</w:t>
      </w:r>
    </w:p>
    <w:p w14:paraId="64FAD0E7">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（二）深化绩效管理，强化绩效结果运用</w:t>
      </w:r>
    </w:p>
    <w:p w14:paraId="22481F3D">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提升绩效目标设定的规范性和合理性，建立绩效指标库，为各类项目提供规范化的参考指标模板，引导工作人员科学设定可量化、可操作的绩效目标。在预算审核环节同步加强绩效目标审核，对绩效目标设定明显不合理的项目，退回修改后方可纳入预算。提高绩效自评的深度和质量，推动绩效自评工作由</w:t>
      </w:r>
      <w:r>
        <w:rPr>
          <w:rFonts w:hint="eastAsia" w:ascii="Times New Roman" w:hAnsi="Times New Roman" w:eastAsia="方正仿宋_GB2312" w:cs="方正仿宋_GB2312"/>
          <w:color w:val="000000"/>
          <w:kern w:val="0"/>
          <w:sz w:val="34"/>
          <w:szCs w:val="34"/>
          <w:lang w:eastAsia="zh-CN"/>
        </w:rPr>
        <w:t>办公室</w:t>
      </w:r>
      <w:r>
        <w:rPr>
          <w:rFonts w:hint="eastAsia" w:ascii="方正仿宋_GB2312" w:hAnsi="方正仿宋_GB2312" w:eastAsia="方正仿宋_GB2312" w:cs="方正仿宋_GB2312"/>
          <w:color w:val="000000"/>
          <w:kern w:val="0"/>
          <w:sz w:val="34"/>
          <w:szCs w:val="34"/>
        </w:rPr>
        <w:t>“单打独斗”向财务与业务部门共同参与转变，形成“谁花钱、谁评价”的责任机制。绩效报告应注重对政策效果、社会影响等深层次问题的分析和反思，而不仅仅是完成率和支出率的简单陈述。建立绩效评价结果反馈机制，将评价结论与下一年度预算安排有机挂钩，真正发挥绩效管理“指挥棒”的作用。</w:t>
      </w:r>
    </w:p>
    <w:p w14:paraId="3F4A7177">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（三）强化绩效信息管理，夯实评价基础</w:t>
      </w:r>
    </w:p>
    <w:p w14:paraId="241254F8">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建立覆盖项目全周期的绩效信息档案制度，系统收集和保存项目立项依据、实施过程、产出结果等关键信息，为绩效评价提供充分的数据支撑。探索运用信息化手段实现绩效数据的实时采集和动态监控，逐步构建便捷高效的绩效管理信息系统。</w:t>
      </w:r>
    </w:p>
    <w:p w14:paraId="58303E6F">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（四）加强能力建设，提升人员综合素质</w:t>
      </w:r>
    </w:p>
    <w:p w14:paraId="216D553C">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加大财务与绩效管理培训力度，将预算管理、绩效管理、政府采购、资产管理等政策知识纳入年度培训计划，定期组织全体管理人员学习培训，不断提升业务能力和政策水平。同时，建立学习成效考核机制，以考促学，推动财务管理能力整体提升。</w:t>
      </w:r>
    </w:p>
    <w:p w14:paraId="294B3211">
      <w:pPr>
        <w:keepNext w:val="0"/>
        <w:keepLines w:val="0"/>
        <w:pageBreakBefore w:val="0"/>
        <w:numPr>
          <w:ilvl w:val="0"/>
          <w:numId w:val="3"/>
        </w:numPr>
        <w:kinsoku/>
        <w:wordWrap/>
        <w:overflowPunct/>
        <w:topLinePunct w:val="0"/>
        <w:autoSpaceDE/>
        <w:autoSpaceDN/>
        <w:bidi w:val="0"/>
        <w:adjustRightInd/>
        <w:snapToGrid/>
        <w:spacing w:line="590" w:lineRule="exact"/>
        <w:rPr>
          <w:rFonts w:hint="eastAsia" w:ascii="黑体" w:hAnsi="黑体" w:eastAsia="黑体" w:cs="黑体"/>
          <w:color w:val="000000"/>
          <w:kern w:val="0"/>
          <w:sz w:val="34"/>
          <w:szCs w:val="34"/>
        </w:rPr>
      </w:pPr>
      <w:r>
        <w:rPr>
          <w:rFonts w:hint="eastAsia" w:ascii="黑体" w:hAnsi="黑体" w:eastAsia="黑体" w:cs="黑体"/>
          <w:color w:val="000000"/>
          <w:kern w:val="0"/>
          <w:sz w:val="34"/>
          <w:szCs w:val="34"/>
        </w:rPr>
        <w:t>评价工作开展情况及其他需说明的情况</w:t>
      </w:r>
    </w:p>
    <w:p w14:paraId="54B53545">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楷体" w:hAnsi="楷体" w:eastAsia="楷体" w:cs="楷体"/>
          <w:color w:val="000000"/>
          <w:kern w:val="0"/>
          <w:sz w:val="34"/>
          <w:szCs w:val="34"/>
        </w:rPr>
      </w:pPr>
      <w:r>
        <w:rPr>
          <w:rFonts w:hint="eastAsia" w:ascii="楷体" w:hAnsi="楷体" w:eastAsia="楷体" w:cs="楷体"/>
          <w:color w:val="000000"/>
          <w:kern w:val="0"/>
          <w:sz w:val="34"/>
          <w:szCs w:val="34"/>
        </w:rPr>
        <w:t>（一）绩效评价工作情况</w:t>
      </w:r>
    </w:p>
    <w:p w14:paraId="7D2321DC">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1</w:t>
      </w:r>
      <w:r>
        <w:rPr>
          <w:rFonts w:hint="eastAsia" w:ascii="方正仿宋_GB2312" w:hAnsi="方正仿宋_GB2312" w:eastAsia="方正仿宋_GB2312" w:cs="方正仿宋_GB2312"/>
          <w:b/>
          <w:bCs/>
          <w:color w:val="000000"/>
          <w:kern w:val="0"/>
          <w:sz w:val="34"/>
          <w:szCs w:val="34"/>
        </w:rPr>
        <w:t>.评价思路及方法</w:t>
      </w:r>
    </w:p>
    <w:p w14:paraId="5A8DD53C">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本次绩效自评严格落实绩效评价政策及上级主管部门有关预算绩效管理工作要求，坚持“花钱必问效、无效必问责”的基本原则，以部门年初设定的整体绩效目标为基准，围绕预算资金的投入、产出、效果三个维度，全面梳理年度财政资金使用情况，客观评价绩效目标完成程度，深入查找管理薄弱环节，研究提出改进措施，切实推动部门财政资金管理水平持续提升。</w:t>
      </w:r>
    </w:p>
    <w:p w14:paraId="005309B6">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评价工作遵循以下基本思路：</w:t>
      </w:r>
    </w:p>
    <w:p w14:paraId="31A85D7B">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目标导向：以年初批复的绩效目标为评价依据，重点衡量各项绩效指标的完成程度和质量；</w:t>
      </w:r>
    </w:p>
    <w:p w14:paraId="35BA7085">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问题导向：不回避矛盾，客观如实反映预算执行和绩效管理中存在的问题，深挖原因，提出有针对性的改进建议；</w:t>
      </w:r>
    </w:p>
    <w:p w14:paraId="0C5A5DD0">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结果导向：将自评结果作为优化下年度预算安排、改进业务管理的重要依据，确保评价工作落到实处、发挥实效。</w:t>
      </w:r>
    </w:p>
    <w:p w14:paraId="5712DFB7">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本次绩效自评综合运用比较分析法、因素分析法、综合评分法，确保评价结果客观、全面、准确。将年度预算执行情况与年初绩效目标逐项比对，重点分析目标完成率、资金使用进度、产出数量与质量等核心指标的达标情况；找准差距与偏差，针对预算执行偏差、绩效目标未完成等情况，从主观管理因素和客观环境因素两个维度进行综合分析，科学区分可控因素与不可控因素，客观评价工作绩效；依据上级主管部门统一制定的绩效评价指标体系，对投入、过程、产出、效果等各维度指标进行量化打分，加权汇总形成综合绩效得分，作为评价结论的主要依据。</w:t>
      </w:r>
    </w:p>
    <w:p w14:paraId="3A324BBE">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2</w:t>
      </w:r>
      <w:r>
        <w:rPr>
          <w:rFonts w:hint="eastAsia" w:ascii="方正仿宋_GB2312" w:hAnsi="方正仿宋_GB2312" w:eastAsia="方正仿宋_GB2312" w:cs="方正仿宋_GB2312"/>
          <w:b/>
          <w:bCs/>
          <w:color w:val="000000"/>
          <w:kern w:val="0"/>
          <w:sz w:val="34"/>
          <w:szCs w:val="34"/>
        </w:rPr>
        <w:t>.评价组织与分工</w:t>
      </w:r>
    </w:p>
    <w:p w14:paraId="0C96463E">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为确保本次绩效自评工作有序推进、质量可控，各业务处室负责人统筹协调推进自评各项工作。各处室对提交的绩效数据和自评材料的真实性、完整性负责，</w:t>
      </w:r>
      <w:r>
        <w:rPr>
          <w:rFonts w:hint="eastAsia" w:ascii="Times New Roman" w:hAnsi="Times New Roman" w:eastAsia="方正仿宋_GB2312" w:cs="方正仿宋_GB2312"/>
          <w:color w:val="000000"/>
          <w:kern w:val="0"/>
          <w:sz w:val="34"/>
          <w:szCs w:val="34"/>
          <w:lang w:eastAsia="zh-CN"/>
        </w:rPr>
        <w:t>办公室</w:t>
      </w:r>
      <w:r>
        <w:rPr>
          <w:rFonts w:hint="eastAsia" w:ascii="方正仿宋_GB2312" w:hAnsi="方正仿宋_GB2312" w:eastAsia="方正仿宋_GB2312" w:cs="方正仿宋_GB2312"/>
          <w:color w:val="000000"/>
          <w:kern w:val="0"/>
          <w:sz w:val="34"/>
          <w:szCs w:val="34"/>
        </w:rPr>
        <w:t>对汇总后的报告内容负总责。</w:t>
      </w:r>
    </w:p>
    <w:p w14:paraId="5D433C41">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3</w:t>
      </w:r>
      <w:r>
        <w:rPr>
          <w:rFonts w:hint="eastAsia" w:ascii="方正仿宋_GB2312" w:hAnsi="方正仿宋_GB2312" w:eastAsia="方正仿宋_GB2312" w:cs="方正仿宋_GB2312"/>
          <w:b/>
          <w:bCs/>
          <w:color w:val="000000"/>
          <w:kern w:val="0"/>
          <w:sz w:val="34"/>
          <w:szCs w:val="34"/>
        </w:rPr>
        <w:t>.评价过程</w:t>
      </w:r>
    </w:p>
    <w:p w14:paraId="289E06C2">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本次绩效自评工作按照“统一部署—数据收集—分析评价—报告编制—审核报送”五个环节有序推进。部门召开绩效自评工作动员会，传达上级有关绩效自评工作要求，明确自评范围、时间节点和各科室工作任务，统一下发绩效自评工作方案及数据填报模板，部署各处室启动自评工作。各业务处室依据年初绩效目标，填报绩效数据，并对本科室承担项目的绩效指标完成情况进行初步自查，形成科室层面的绩效自评材料，按时报送。</w:t>
      </w:r>
      <w:r>
        <w:rPr>
          <w:rFonts w:hint="eastAsia" w:ascii="Times New Roman" w:hAnsi="Times New Roman" w:eastAsia="方正仿宋_GB2312" w:cs="方正仿宋_GB2312"/>
          <w:color w:val="000000"/>
          <w:kern w:val="0"/>
          <w:sz w:val="34"/>
          <w:szCs w:val="34"/>
          <w:lang w:eastAsia="zh-CN"/>
        </w:rPr>
        <w:t>办公室</w:t>
      </w:r>
      <w:r>
        <w:rPr>
          <w:rFonts w:hint="eastAsia" w:ascii="方正仿宋_GB2312" w:hAnsi="方正仿宋_GB2312" w:eastAsia="方正仿宋_GB2312" w:cs="方正仿宋_GB2312"/>
          <w:color w:val="000000"/>
          <w:kern w:val="0"/>
          <w:sz w:val="34"/>
          <w:szCs w:val="34"/>
        </w:rPr>
        <w:t>对各科室报送材料进行汇总审核，对数据逻辑不一致、填报不规范的情况及时反馈补充修正。在此基础上，对照绩效目标逐项开展指标完成情况分析，运用综合评分法形成量化评价结果，梳理归纳预算执行和绩效管理中存在的主要问题，分析原因，研究提出改进建议。</w:t>
      </w:r>
      <w:r>
        <w:rPr>
          <w:rFonts w:hint="eastAsia" w:ascii="Times New Roman" w:hAnsi="Times New Roman" w:eastAsia="方正仿宋_GB2312" w:cs="方正仿宋_GB2312"/>
          <w:color w:val="000000"/>
          <w:kern w:val="0"/>
          <w:sz w:val="34"/>
          <w:szCs w:val="34"/>
          <w:lang w:eastAsia="zh-CN"/>
        </w:rPr>
        <w:t>办公室</w:t>
      </w:r>
      <w:r>
        <w:rPr>
          <w:rFonts w:hint="eastAsia" w:ascii="方正仿宋_GB2312" w:hAnsi="方正仿宋_GB2312" w:eastAsia="方正仿宋_GB2312" w:cs="方正仿宋_GB2312"/>
          <w:color w:val="000000"/>
          <w:kern w:val="0"/>
          <w:sz w:val="34"/>
          <w:szCs w:val="34"/>
        </w:rPr>
        <w:t>在分析评价基础上，起草部门整体支出绩效自评报告，内容涵盖基本情况、绩效目标完成情况、存在的问题及原因分析、有关建议等核心内容，形成报告初稿后组织各科室会签，充分吸纳各方意见后进行修改完善。</w:t>
      </w:r>
    </w:p>
    <w:p w14:paraId="35C3AE1C">
      <w:pPr>
        <w:keepNext w:val="0"/>
        <w:keepLines w:val="0"/>
        <w:pageBreakBefore w:val="0"/>
        <w:widowControl/>
        <w:kinsoku/>
        <w:wordWrap/>
        <w:overflowPunct/>
        <w:topLinePunct w:val="0"/>
        <w:autoSpaceDE/>
        <w:autoSpaceDN/>
        <w:bidi w:val="0"/>
        <w:adjustRightInd/>
        <w:snapToGrid/>
        <w:spacing w:line="590" w:lineRule="exact"/>
        <w:ind w:firstLine="683" w:firstLineChars="200"/>
        <w:jc w:val="left"/>
        <w:rPr>
          <w:rFonts w:hint="eastAsia" w:ascii="方正仿宋_GB2312" w:hAnsi="方正仿宋_GB2312" w:eastAsia="方正仿宋_GB2312" w:cs="方正仿宋_GB2312"/>
          <w:b/>
          <w:bCs/>
          <w:color w:val="000000"/>
          <w:kern w:val="0"/>
          <w:sz w:val="34"/>
          <w:szCs w:val="34"/>
        </w:rPr>
      </w:pPr>
      <w:r>
        <w:rPr>
          <w:rFonts w:hint="eastAsia" w:ascii="Times New Roman" w:hAnsi="Times New Roman" w:eastAsia="方正仿宋_GB2312" w:cs="方正仿宋_GB2312"/>
          <w:b/>
          <w:bCs/>
          <w:color w:val="000000"/>
          <w:kern w:val="0"/>
          <w:sz w:val="34"/>
          <w:szCs w:val="34"/>
        </w:rPr>
        <w:t>4</w:t>
      </w:r>
      <w:r>
        <w:rPr>
          <w:rFonts w:hint="eastAsia" w:ascii="方正仿宋_GB2312" w:hAnsi="方正仿宋_GB2312" w:eastAsia="方正仿宋_GB2312" w:cs="方正仿宋_GB2312"/>
          <w:b/>
          <w:bCs/>
          <w:color w:val="000000"/>
          <w:kern w:val="0"/>
          <w:sz w:val="34"/>
          <w:szCs w:val="34"/>
        </w:rPr>
        <w:t>.评价指标体系</w:t>
      </w:r>
    </w:p>
    <w:p w14:paraId="14F8AA52">
      <w:pPr>
        <w:keepNext w:val="0"/>
        <w:keepLines w:val="0"/>
        <w:pageBreakBefore w:val="0"/>
        <w:widowControl/>
        <w:kinsoku/>
        <w:wordWrap/>
        <w:overflowPunct/>
        <w:topLinePunct w:val="0"/>
        <w:autoSpaceDE/>
        <w:autoSpaceDN/>
        <w:bidi w:val="0"/>
        <w:adjustRightInd/>
        <w:snapToGrid/>
        <w:spacing w:line="590" w:lineRule="exact"/>
        <w:ind w:firstLine="680" w:firstLineChars="200"/>
        <w:jc w:val="left"/>
        <w:rPr>
          <w:rFonts w:hint="eastAsia" w:ascii="方正仿宋_GB2312" w:hAnsi="方正仿宋_GB2312" w:eastAsia="方正仿宋_GB2312" w:cs="方正仿宋_GB2312"/>
          <w:color w:val="000000"/>
          <w:kern w:val="0"/>
          <w:sz w:val="34"/>
          <w:szCs w:val="34"/>
        </w:rPr>
      </w:pPr>
      <w:r>
        <w:rPr>
          <w:rFonts w:hint="eastAsia" w:ascii="Times New Roman" w:hAnsi="Times New Roman" w:eastAsia="方正仿宋_GB2312" w:cs="方正仿宋_GB2312"/>
          <w:color w:val="000000"/>
          <w:kern w:val="0"/>
          <w:sz w:val="34"/>
          <w:szCs w:val="34"/>
        </w:rPr>
        <w:t>2025</w:t>
      </w:r>
      <w:r>
        <w:rPr>
          <w:rFonts w:hint="eastAsia" w:ascii="方正仿宋_GB2312" w:hAnsi="方正仿宋_GB2312" w:eastAsia="方正仿宋_GB2312" w:cs="方正仿宋_GB2312"/>
          <w:color w:val="000000"/>
          <w:kern w:val="0"/>
          <w:sz w:val="34"/>
          <w:szCs w:val="34"/>
        </w:rPr>
        <w:t>年中国民主同盟南京市委员会部门整体绩效评价指标体系共设计五个一级指标，</w:t>
      </w:r>
      <w:r>
        <w:rPr>
          <w:rFonts w:hint="eastAsia" w:ascii="Times New Roman" w:hAnsi="Times New Roman" w:eastAsia="方正仿宋_GB2312" w:cs="方正仿宋_GB2312"/>
          <w:color w:val="000000"/>
          <w:kern w:val="0"/>
          <w:sz w:val="34"/>
          <w:szCs w:val="34"/>
        </w:rPr>
        <w:t>15</w:t>
      </w:r>
      <w:r>
        <w:rPr>
          <w:rFonts w:hint="eastAsia" w:ascii="方正仿宋_GB2312" w:hAnsi="方正仿宋_GB2312" w:eastAsia="方正仿宋_GB2312" w:cs="方正仿宋_GB2312"/>
          <w:color w:val="000000"/>
          <w:kern w:val="0"/>
          <w:sz w:val="34"/>
          <w:szCs w:val="34"/>
        </w:rPr>
        <w:t>个二级指标，</w:t>
      </w:r>
      <w:r>
        <w:rPr>
          <w:rFonts w:hint="eastAsia" w:ascii="Times New Roman" w:hAnsi="Times New Roman" w:eastAsia="方正仿宋_GB2312" w:cs="方正仿宋_GB2312"/>
          <w:color w:val="000000"/>
          <w:kern w:val="0"/>
          <w:sz w:val="34"/>
          <w:szCs w:val="34"/>
        </w:rPr>
        <w:t>49</w:t>
      </w:r>
      <w:r>
        <w:rPr>
          <w:rFonts w:hint="eastAsia" w:ascii="方正仿宋_GB2312" w:hAnsi="方正仿宋_GB2312" w:eastAsia="方正仿宋_GB2312" w:cs="方正仿宋_GB2312"/>
          <w:color w:val="000000"/>
          <w:kern w:val="0"/>
          <w:sz w:val="34"/>
          <w:szCs w:val="34"/>
        </w:rPr>
        <w:t>个三级指标。详见附件。</w:t>
      </w:r>
    </w:p>
    <w:p w14:paraId="1843793C">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color w:val="000000"/>
          <w:kern w:val="0"/>
          <w:sz w:val="34"/>
          <w:szCs w:val="34"/>
        </w:rPr>
      </w:pPr>
    </w:p>
    <w:p w14:paraId="27706697">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color w:val="000000"/>
          <w:kern w:val="0"/>
          <w:sz w:val="34"/>
          <w:szCs w:val="34"/>
        </w:rPr>
      </w:pPr>
      <w:r>
        <w:rPr>
          <w:rFonts w:hint="eastAsia" w:ascii="方正仿宋_GB2312" w:hAnsi="方正仿宋_GB2312" w:eastAsia="方正仿宋_GB2312" w:cs="方正仿宋_GB2312"/>
          <w:color w:val="000000"/>
          <w:kern w:val="0"/>
          <w:sz w:val="34"/>
          <w:szCs w:val="34"/>
        </w:rPr>
        <w:t>附件：指标体系得分情况</w:t>
      </w:r>
    </w:p>
    <w:tbl>
      <w:tblPr>
        <w:tblStyle w:val="10"/>
        <w:tblpPr w:leftFromText="180" w:rightFromText="180" w:vertAnchor="text" w:horzAnchor="page" w:tblpXSpec="center" w:tblpY="344"/>
        <w:tblOverlap w:val="never"/>
        <w:tblW w:w="114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1185"/>
        <w:gridCol w:w="3180"/>
        <w:gridCol w:w="600"/>
        <w:gridCol w:w="4335"/>
        <w:gridCol w:w="655"/>
      </w:tblGrid>
      <w:tr w14:paraId="465CB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Align w:val="center"/>
          </w:tcPr>
          <w:p w14:paraId="6CCA4B9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一级指标</w:t>
            </w:r>
          </w:p>
        </w:tc>
        <w:tc>
          <w:tcPr>
            <w:tcW w:w="1185" w:type="dxa"/>
            <w:vAlign w:val="center"/>
          </w:tcPr>
          <w:p w14:paraId="70D9F2D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二级指标</w:t>
            </w:r>
          </w:p>
        </w:tc>
        <w:tc>
          <w:tcPr>
            <w:tcW w:w="3180" w:type="dxa"/>
            <w:vAlign w:val="center"/>
          </w:tcPr>
          <w:p w14:paraId="278AF0C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三级指标</w:t>
            </w:r>
          </w:p>
        </w:tc>
        <w:tc>
          <w:tcPr>
            <w:tcW w:w="600" w:type="dxa"/>
          </w:tcPr>
          <w:p w14:paraId="32AA34B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分值</w:t>
            </w:r>
          </w:p>
        </w:tc>
        <w:tc>
          <w:tcPr>
            <w:tcW w:w="4335" w:type="dxa"/>
            <w:vAlign w:val="center"/>
          </w:tcPr>
          <w:p w14:paraId="083352C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评价内容</w:t>
            </w:r>
          </w:p>
        </w:tc>
        <w:tc>
          <w:tcPr>
            <w:tcW w:w="655" w:type="dxa"/>
          </w:tcPr>
          <w:p w14:paraId="6D37128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得分</w:t>
            </w:r>
          </w:p>
        </w:tc>
      </w:tr>
      <w:tr w14:paraId="4EAC3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jc w:val="center"/>
        </w:trPr>
        <w:tc>
          <w:tcPr>
            <w:tcW w:w="1482" w:type="dxa"/>
            <w:vMerge w:val="restart"/>
            <w:vAlign w:val="center"/>
          </w:tcPr>
          <w:p w14:paraId="67B80E2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决策（</w:t>
            </w:r>
            <w:r>
              <w:rPr>
                <w:rFonts w:hint="eastAsia" w:ascii="Times New Roman" w:hAnsi="Times New Roman" w:eastAsia="方正仿宋_GB2312" w:cs="方正仿宋_GB2312"/>
                <w:sz w:val="24"/>
                <w:szCs w:val="24"/>
              </w:rPr>
              <w:t>15</w:t>
            </w:r>
            <w:r>
              <w:rPr>
                <w:rFonts w:hint="eastAsia" w:ascii="方正仿宋_GB2312" w:hAnsi="方正仿宋_GB2312" w:eastAsia="方正仿宋_GB2312" w:cs="方正仿宋_GB2312"/>
                <w:sz w:val="24"/>
                <w:szCs w:val="24"/>
              </w:rPr>
              <w:t>）</w:t>
            </w:r>
          </w:p>
          <w:p w14:paraId="0034C16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0ECDBFB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计划制定</w:t>
            </w:r>
          </w:p>
        </w:tc>
        <w:tc>
          <w:tcPr>
            <w:tcW w:w="3180" w:type="dxa"/>
            <w:vAlign w:val="center"/>
          </w:tcPr>
          <w:p w14:paraId="71DFE38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中长期规划制定健全性</w:t>
            </w:r>
          </w:p>
        </w:tc>
        <w:tc>
          <w:tcPr>
            <w:tcW w:w="600" w:type="dxa"/>
            <w:vAlign w:val="center"/>
          </w:tcPr>
          <w:p w14:paraId="5307545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4F8FD1C8">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部门是否具有明确的中长期规划。</w:t>
            </w:r>
          </w:p>
        </w:tc>
        <w:tc>
          <w:tcPr>
            <w:tcW w:w="655" w:type="dxa"/>
            <w:shd w:val="clear" w:color="auto" w:fill="auto"/>
            <w:vAlign w:val="center"/>
          </w:tcPr>
          <w:p w14:paraId="62E1473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66A8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82" w:type="dxa"/>
            <w:vMerge w:val="continue"/>
            <w:vAlign w:val="center"/>
          </w:tcPr>
          <w:p w14:paraId="0375855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B5C9BB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50735FB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工作计划制定健全性</w:t>
            </w:r>
          </w:p>
        </w:tc>
        <w:tc>
          <w:tcPr>
            <w:tcW w:w="600" w:type="dxa"/>
            <w:vAlign w:val="center"/>
          </w:tcPr>
          <w:p w14:paraId="364A6BE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27C58A68">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中长期规划是否与单位职能相匹配。</w:t>
            </w:r>
          </w:p>
        </w:tc>
        <w:tc>
          <w:tcPr>
            <w:tcW w:w="655" w:type="dxa"/>
            <w:shd w:val="clear" w:color="auto" w:fill="auto"/>
            <w:vAlign w:val="center"/>
          </w:tcPr>
          <w:p w14:paraId="16ACA30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12553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5ED90B7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21A4AAF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目标设定</w:t>
            </w:r>
          </w:p>
        </w:tc>
        <w:tc>
          <w:tcPr>
            <w:tcW w:w="3180" w:type="dxa"/>
            <w:vAlign w:val="center"/>
          </w:tcPr>
          <w:p w14:paraId="2D540AF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绩效目标合理性</w:t>
            </w:r>
          </w:p>
        </w:tc>
        <w:tc>
          <w:tcPr>
            <w:tcW w:w="600" w:type="dxa"/>
            <w:vAlign w:val="center"/>
          </w:tcPr>
          <w:p w14:paraId="3E90CD9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68B2E882">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绩效目标是否与单位职能相匹配。</w:t>
            </w:r>
          </w:p>
        </w:tc>
        <w:tc>
          <w:tcPr>
            <w:tcW w:w="655" w:type="dxa"/>
            <w:shd w:val="clear" w:color="auto" w:fill="auto"/>
            <w:vAlign w:val="center"/>
          </w:tcPr>
          <w:p w14:paraId="3F73E41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59EAA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2C5F581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36AAC0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8F8BF7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绩效指标明确性</w:t>
            </w:r>
          </w:p>
        </w:tc>
        <w:tc>
          <w:tcPr>
            <w:tcW w:w="600" w:type="dxa"/>
            <w:vAlign w:val="center"/>
          </w:tcPr>
          <w:p w14:paraId="00497CA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39AC754A">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绩效设定指标是否明确。</w:t>
            </w:r>
          </w:p>
        </w:tc>
        <w:tc>
          <w:tcPr>
            <w:tcW w:w="655" w:type="dxa"/>
            <w:shd w:val="clear" w:color="auto" w:fill="auto"/>
            <w:vAlign w:val="center"/>
          </w:tcPr>
          <w:p w14:paraId="7E27296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46A3E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1B36483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17C3BB8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预算编制</w:t>
            </w:r>
          </w:p>
        </w:tc>
        <w:tc>
          <w:tcPr>
            <w:tcW w:w="3180" w:type="dxa"/>
            <w:tcBorders>
              <w:bottom w:val="single" w:color="000000" w:sz="4" w:space="0"/>
            </w:tcBorders>
            <w:vAlign w:val="center"/>
          </w:tcPr>
          <w:p w14:paraId="690CB80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预算编制科学性</w:t>
            </w:r>
          </w:p>
        </w:tc>
        <w:tc>
          <w:tcPr>
            <w:tcW w:w="600" w:type="dxa"/>
            <w:tcBorders>
              <w:bottom w:val="single" w:color="000000" w:sz="4" w:space="0"/>
            </w:tcBorders>
            <w:vAlign w:val="center"/>
          </w:tcPr>
          <w:p w14:paraId="03AF691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tcBorders>
              <w:bottom w:val="single" w:color="000000" w:sz="4" w:space="0"/>
            </w:tcBorders>
            <w:vAlign w:val="center"/>
          </w:tcPr>
          <w:p w14:paraId="0AA0D8E8">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预算编制是否科学规范，执行是否有效。</w:t>
            </w:r>
          </w:p>
        </w:tc>
        <w:tc>
          <w:tcPr>
            <w:tcW w:w="655" w:type="dxa"/>
            <w:tcBorders>
              <w:bottom w:val="single" w:color="000000" w:sz="4" w:space="0"/>
            </w:tcBorders>
            <w:shd w:val="clear" w:color="auto" w:fill="auto"/>
            <w:vAlign w:val="center"/>
          </w:tcPr>
          <w:p w14:paraId="0998EC8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5D795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CFB771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8CCE55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0D5EA8E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预算编制规范性</w:t>
            </w:r>
          </w:p>
        </w:tc>
        <w:tc>
          <w:tcPr>
            <w:tcW w:w="600" w:type="dxa"/>
            <w:vAlign w:val="center"/>
          </w:tcPr>
          <w:p w14:paraId="20374AC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55184CFE">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预算编制是否与重点工作任务相匹配。</w:t>
            </w:r>
          </w:p>
        </w:tc>
        <w:tc>
          <w:tcPr>
            <w:tcW w:w="655" w:type="dxa"/>
            <w:shd w:val="clear" w:color="auto" w:fill="auto"/>
            <w:vAlign w:val="center"/>
          </w:tcPr>
          <w:p w14:paraId="7D2441B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722B7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restart"/>
            <w:vAlign w:val="center"/>
          </w:tcPr>
          <w:p w14:paraId="3814C7D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1776573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77F4341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32F3CF9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048366A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2400D2C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2FB55EE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584E455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203570D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264388D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31C527A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4FECA9E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p w14:paraId="0FE676D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过程（</w:t>
            </w:r>
            <w:r>
              <w:rPr>
                <w:rFonts w:hint="eastAsia" w:ascii="Times New Roman" w:hAnsi="Times New Roman" w:eastAsia="方正仿宋_GB2312" w:cs="方正仿宋_GB2312"/>
                <w:sz w:val="24"/>
                <w:szCs w:val="24"/>
              </w:rPr>
              <w:t>20</w:t>
            </w:r>
            <w:r>
              <w:rPr>
                <w:rFonts w:hint="eastAsia" w:ascii="方正仿宋_GB2312" w:hAnsi="方正仿宋_GB2312" w:eastAsia="方正仿宋_GB2312" w:cs="方正仿宋_GB2312"/>
                <w:sz w:val="24"/>
                <w:szCs w:val="24"/>
              </w:rPr>
              <w:t>）</w:t>
            </w:r>
          </w:p>
          <w:p w14:paraId="3F019BD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119CF04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预算执行</w:t>
            </w:r>
          </w:p>
        </w:tc>
        <w:tc>
          <w:tcPr>
            <w:tcW w:w="3180" w:type="dxa"/>
            <w:vAlign w:val="center"/>
          </w:tcPr>
          <w:p w14:paraId="3F2C75D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预算调整率</w:t>
            </w:r>
          </w:p>
        </w:tc>
        <w:tc>
          <w:tcPr>
            <w:tcW w:w="600" w:type="dxa"/>
            <w:vAlign w:val="center"/>
          </w:tcPr>
          <w:p w14:paraId="6F1E145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311251FF">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部门预算调整情况。</w:t>
            </w:r>
          </w:p>
        </w:tc>
        <w:tc>
          <w:tcPr>
            <w:tcW w:w="655" w:type="dxa"/>
            <w:shd w:val="clear" w:color="auto" w:fill="auto"/>
            <w:vAlign w:val="center"/>
          </w:tcPr>
          <w:p w14:paraId="21BA823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09C84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71D7251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241B6D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C23747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支付进度符合率</w:t>
            </w:r>
          </w:p>
        </w:tc>
        <w:tc>
          <w:tcPr>
            <w:tcW w:w="600" w:type="dxa"/>
            <w:vAlign w:val="center"/>
          </w:tcPr>
          <w:p w14:paraId="384F639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70E2989D">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预算支付进度是否符合绩效目标设定。</w:t>
            </w:r>
          </w:p>
        </w:tc>
        <w:tc>
          <w:tcPr>
            <w:tcW w:w="655" w:type="dxa"/>
            <w:shd w:val="clear" w:color="auto" w:fill="auto"/>
            <w:vAlign w:val="center"/>
          </w:tcPr>
          <w:p w14:paraId="40925D65">
            <w:pPr>
              <w:keepNext w:val="0"/>
              <w:keepLines w:val="0"/>
              <w:pageBreakBefore w:val="0"/>
              <w:kinsoku/>
              <w:wordWrap/>
              <w:overflowPunct/>
              <w:topLinePunct w:val="0"/>
              <w:autoSpaceDE/>
              <w:autoSpaceDN/>
              <w:bidi w:val="0"/>
              <w:adjustRightInd/>
              <w:snapToGrid/>
              <w:spacing w:line="590" w:lineRule="exact"/>
              <w:jc w:val="center"/>
              <w:rPr>
                <w:rFonts w:hint="default" w:ascii="方正仿宋_GB2312" w:hAnsi="方正仿宋_GB2312" w:eastAsia="方正仿宋_GB2312" w:cs="方正仿宋_GB2312"/>
                <w:sz w:val="24"/>
                <w:szCs w:val="24"/>
                <w:lang w:val="en-US" w:eastAsia="zh-CN"/>
              </w:rPr>
            </w:pPr>
            <w:r>
              <w:rPr>
                <w:rFonts w:hint="eastAsia" w:eastAsia="方正仿宋_GB2312" w:cs="方正仿宋_GB2312"/>
                <w:sz w:val="24"/>
                <w:szCs w:val="24"/>
                <w:lang w:val="en-US" w:eastAsia="zh-CN"/>
              </w:rPr>
              <w:t>0.5</w:t>
            </w:r>
          </w:p>
        </w:tc>
      </w:tr>
      <w:tr w14:paraId="6CE41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82" w:type="dxa"/>
            <w:vMerge w:val="continue"/>
            <w:vAlign w:val="center"/>
          </w:tcPr>
          <w:p w14:paraId="25AA1A4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BE0A43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6B1460A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预算执行率</w:t>
            </w:r>
          </w:p>
        </w:tc>
        <w:tc>
          <w:tcPr>
            <w:tcW w:w="600" w:type="dxa"/>
            <w:shd w:val="clear" w:color="auto" w:fill="auto"/>
            <w:vAlign w:val="center"/>
          </w:tcPr>
          <w:p w14:paraId="0961813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shd w:val="clear" w:color="auto" w:fill="auto"/>
            <w:vAlign w:val="center"/>
          </w:tcPr>
          <w:p w14:paraId="680B6CB8">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部门预算执行进度情况。</w:t>
            </w:r>
          </w:p>
        </w:tc>
        <w:tc>
          <w:tcPr>
            <w:tcW w:w="655" w:type="dxa"/>
            <w:shd w:val="clear" w:color="auto" w:fill="auto"/>
            <w:vAlign w:val="center"/>
          </w:tcPr>
          <w:p w14:paraId="41FD09B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54224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3801D05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12536C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3A94921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结转结余率</w:t>
            </w:r>
          </w:p>
        </w:tc>
        <w:tc>
          <w:tcPr>
            <w:tcW w:w="600" w:type="dxa"/>
            <w:vAlign w:val="center"/>
          </w:tcPr>
          <w:p w14:paraId="2977FD7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7F7B8995">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年度支出结转结余情况。</w:t>
            </w:r>
          </w:p>
        </w:tc>
        <w:tc>
          <w:tcPr>
            <w:tcW w:w="655" w:type="dxa"/>
            <w:shd w:val="clear" w:color="auto" w:fill="auto"/>
            <w:vAlign w:val="center"/>
          </w:tcPr>
          <w:p w14:paraId="5B77C45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572D9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1093AB5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0CD5DCA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1719541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公用经费控制率</w:t>
            </w:r>
          </w:p>
        </w:tc>
        <w:tc>
          <w:tcPr>
            <w:tcW w:w="600" w:type="dxa"/>
            <w:vAlign w:val="center"/>
          </w:tcPr>
          <w:p w14:paraId="04B25D2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5188D4F3">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公用经费控制情况。</w:t>
            </w:r>
          </w:p>
        </w:tc>
        <w:tc>
          <w:tcPr>
            <w:tcW w:w="655" w:type="dxa"/>
            <w:shd w:val="clear" w:color="auto" w:fill="auto"/>
            <w:vAlign w:val="center"/>
          </w:tcPr>
          <w:p w14:paraId="1CDFDE1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6C252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1DAE286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B8F342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4D95AB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“三公”经费变动率</w:t>
            </w:r>
          </w:p>
        </w:tc>
        <w:tc>
          <w:tcPr>
            <w:tcW w:w="600" w:type="dxa"/>
            <w:vAlign w:val="center"/>
          </w:tcPr>
          <w:p w14:paraId="50C3BAC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07BE5B1C">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“三公”经费控制情况。</w:t>
            </w:r>
          </w:p>
        </w:tc>
        <w:tc>
          <w:tcPr>
            <w:tcW w:w="655" w:type="dxa"/>
            <w:shd w:val="clear" w:color="auto" w:fill="auto"/>
            <w:vAlign w:val="center"/>
          </w:tcPr>
          <w:p w14:paraId="3416FAE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3CFD4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942517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427ADF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F37B63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政府采购执行率</w:t>
            </w:r>
          </w:p>
        </w:tc>
        <w:tc>
          <w:tcPr>
            <w:tcW w:w="600" w:type="dxa"/>
            <w:vAlign w:val="center"/>
          </w:tcPr>
          <w:p w14:paraId="155877E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0D7FA8D4">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部门政府采购制度执行情况。</w:t>
            </w:r>
          </w:p>
        </w:tc>
        <w:tc>
          <w:tcPr>
            <w:tcW w:w="655" w:type="dxa"/>
            <w:shd w:val="clear" w:color="auto" w:fill="auto"/>
            <w:vAlign w:val="center"/>
          </w:tcPr>
          <w:p w14:paraId="33CFA8A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30B9B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9CBCF9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62D32C4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4C6DAE2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非税收入预算完成率</w:t>
            </w:r>
          </w:p>
        </w:tc>
        <w:tc>
          <w:tcPr>
            <w:tcW w:w="600" w:type="dxa"/>
            <w:vAlign w:val="center"/>
          </w:tcPr>
          <w:p w14:paraId="6239A06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3FF6F99E">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非税收入预算完成情况。</w:t>
            </w:r>
          </w:p>
        </w:tc>
        <w:tc>
          <w:tcPr>
            <w:tcW w:w="655" w:type="dxa"/>
            <w:shd w:val="clear" w:color="auto" w:fill="auto"/>
            <w:vAlign w:val="center"/>
          </w:tcPr>
          <w:p w14:paraId="47E868E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7F936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C279C0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7D7BCE5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预算管理</w:t>
            </w:r>
          </w:p>
        </w:tc>
        <w:tc>
          <w:tcPr>
            <w:tcW w:w="3180" w:type="dxa"/>
            <w:vAlign w:val="center"/>
          </w:tcPr>
          <w:p w14:paraId="4D667F9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预算管理制度健全性</w:t>
            </w:r>
          </w:p>
        </w:tc>
        <w:tc>
          <w:tcPr>
            <w:tcW w:w="600" w:type="dxa"/>
            <w:vAlign w:val="center"/>
          </w:tcPr>
          <w:p w14:paraId="5CE9A44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4D20BD52">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是否有健全的预算管理制度。</w:t>
            </w:r>
          </w:p>
        </w:tc>
        <w:tc>
          <w:tcPr>
            <w:tcW w:w="655" w:type="dxa"/>
            <w:shd w:val="clear" w:color="auto" w:fill="auto"/>
            <w:vAlign w:val="center"/>
          </w:tcPr>
          <w:p w14:paraId="054A4BC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4A5FE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3011DD4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2A5562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5D254A9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资金使用合规性</w:t>
            </w:r>
          </w:p>
        </w:tc>
        <w:tc>
          <w:tcPr>
            <w:tcW w:w="600" w:type="dxa"/>
            <w:vAlign w:val="center"/>
          </w:tcPr>
          <w:p w14:paraId="3271CA7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0C86B931">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资金使用是否符合财政规定。</w:t>
            </w:r>
          </w:p>
        </w:tc>
        <w:tc>
          <w:tcPr>
            <w:tcW w:w="655" w:type="dxa"/>
            <w:shd w:val="clear" w:color="auto" w:fill="auto"/>
            <w:vAlign w:val="center"/>
          </w:tcPr>
          <w:p w14:paraId="56919F8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4846B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52F71AF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50B10A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55A262D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绩效管理覆盖率</w:t>
            </w:r>
          </w:p>
        </w:tc>
        <w:tc>
          <w:tcPr>
            <w:tcW w:w="600" w:type="dxa"/>
            <w:vAlign w:val="center"/>
          </w:tcPr>
          <w:p w14:paraId="5406228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7B145992">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绩效管理是否全覆盖。</w:t>
            </w:r>
          </w:p>
        </w:tc>
        <w:tc>
          <w:tcPr>
            <w:tcW w:w="655" w:type="dxa"/>
            <w:shd w:val="clear" w:color="auto" w:fill="auto"/>
            <w:vAlign w:val="center"/>
          </w:tcPr>
          <w:p w14:paraId="0C01A1F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0949B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2D274AA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011B843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04FF66A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基础信息完善性</w:t>
            </w:r>
          </w:p>
        </w:tc>
        <w:tc>
          <w:tcPr>
            <w:tcW w:w="600" w:type="dxa"/>
            <w:vAlign w:val="center"/>
          </w:tcPr>
          <w:p w14:paraId="144A9A1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33BEB8B9">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单位基础信息是否完整完善。</w:t>
            </w:r>
          </w:p>
        </w:tc>
        <w:tc>
          <w:tcPr>
            <w:tcW w:w="655" w:type="dxa"/>
            <w:shd w:val="clear" w:color="auto" w:fill="auto"/>
            <w:vAlign w:val="center"/>
          </w:tcPr>
          <w:p w14:paraId="0483434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23B13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FA291F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7FA012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545C760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预决算信息公开度</w:t>
            </w:r>
          </w:p>
        </w:tc>
        <w:tc>
          <w:tcPr>
            <w:tcW w:w="600" w:type="dxa"/>
            <w:vAlign w:val="center"/>
          </w:tcPr>
          <w:p w14:paraId="6E4B302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4894CE9C">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预决算信息是否在时限内“双公开”。</w:t>
            </w:r>
          </w:p>
        </w:tc>
        <w:tc>
          <w:tcPr>
            <w:tcW w:w="655" w:type="dxa"/>
            <w:shd w:val="clear" w:color="auto" w:fill="auto"/>
            <w:vAlign w:val="center"/>
          </w:tcPr>
          <w:p w14:paraId="0E32115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7B67F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CAB120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89F2BC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0D46378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非税收入管理合规性</w:t>
            </w:r>
          </w:p>
        </w:tc>
        <w:tc>
          <w:tcPr>
            <w:tcW w:w="600" w:type="dxa"/>
            <w:vAlign w:val="center"/>
          </w:tcPr>
          <w:p w14:paraId="4E334BB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0FCAC7A3">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是否严格合规管理非税收入。</w:t>
            </w:r>
          </w:p>
        </w:tc>
        <w:tc>
          <w:tcPr>
            <w:tcW w:w="655" w:type="dxa"/>
            <w:shd w:val="clear" w:color="auto" w:fill="auto"/>
            <w:vAlign w:val="center"/>
          </w:tcPr>
          <w:p w14:paraId="2E5157E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0C669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B42B1C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10A16F0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资产管理</w:t>
            </w:r>
          </w:p>
        </w:tc>
        <w:tc>
          <w:tcPr>
            <w:tcW w:w="3180" w:type="dxa"/>
            <w:vAlign w:val="center"/>
          </w:tcPr>
          <w:p w14:paraId="21F043F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资产管理制度健全性</w:t>
            </w:r>
          </w:p>
        </w:tc>
        <w:tc>
          <w:tcPr>
            <w:tcW w:w="600" w:type="dxa"/>
            <w:vAlign w:val="center"/>
          </w:tcPr>
          <w:p w14:paraId="7D590E2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5768CABC">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部门资产管理制度建设情况。</w:t>
            </w:r>
          </w:p>
        </w:tc>
        <w:tc>
          <w:tcPr>
            <w:tcW w:w="655" w:type="dxa"/>
            <w:shd w:val="clear" w:color="auto" w:fill="auto"/>
            <w:vAlign w:val="center"/>
          </w:tcPr>
          <w:p w14:paraId="7AAFB77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7CD65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C53356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73C994E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0A80E70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资产管理规范性</w:t>
            </w:r>
          </w:p>
        </w:tc>
        <w:tc>
          <w:tcPr>
            <w:tcW w:w="600" w:type="dxa"/>
            <w:vAlign w:val="center"/>
          </w:tcPr>
          <w:p w14:paraId="249510E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7476DAED">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资产管理是否规范。</w:t>
            </w:r>
          </w:p>
        </w:tc>
        <w:tc>
          <w:tcPr>
            <w:tcW w:w="655" w:type="dxa"/>
            <w:shd w:val="clear" w:color="auto" w:fill="auto"/>
            <w:vAlign w:val="center"/>
          </w:tcPr>
          <w:p w14:paraId="3D68988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323A4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27725EE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1FBBAF5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4CB7C99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固定资产利用率</w:t>
            </w:r>
          </w:p>
        </w:tc>
        <w:tc>
          <w:tcPr>
            <w:tcW w:w="600" w:type="dxa"/>
            <w:vAlign w:val="center"/>
          </w:tcPr>
          <w:p w14:paraId="3F86F83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c>
          <w:tcPr>
            <w:tcW w:w="4335" w:type="dxa"/>
            <w:vAlign w:val="center"/>
          </w:tcPr>
          <w:p w14:paraId="100B22F4">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固定资产是否合理利用。</w:t>
            </w:r>
          </w:p>
        </w:tc>
        <w:tc>
          <w:tcPr>
            <w:tcW w:w="655" w:type="dxa"/>
            <w:shd w:val="clear" w:color="auto" w:fill="auto"/>
            <w:vAlign w:val="center"/>
          </w:tcPr>
          <w:p w14:paraId="597AA72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w:t>
            </w:r>
          </w:p>
        </w:tc>
      </w:tr>
      <w:tr w14:paraId="0B8AE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2E4B7D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2EC26F7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项目管理</w:t>
            </w:r>
          </w:p>
        </w:tc>
        <w:tc>
          <w:tcPr>
            <w:tcW w:w="3180" w:type="dxa"/>
            <w:shd w:val="clear" w:color="auto" w:fill="auto"/>
            <w:vAlign w:val="center"/>
          </w:tcPr>
          <w:p w14:paraId="1B10267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项目管理制度健全性</w:t>
            </w:r>
          </w:p>
        </w:tc>
        <w:tc>
          <w:tcPr>
            <w:tcW w:w="600" w:type="dxa"/>
            <w:vAlign w:val="center"/>
          </w:tcPr>
          <w:p w14:paraId="7117817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18E44CC8">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项目管理制度是否健全。</w:t>
            </w:r>
          </w:p>
        </w:tc>
        <w:tc>
          <w:tcPr>
            <w:tcW w:w="655" w:type="dxa"/>
            <w:shd w:val="clear" w:color="auto" w:fill="auto"/>
            <w:vAlign w:val="center"/>
          </w:tcPr>
          <w:p w14:paraId="41BC758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2B29B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405B38D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F242EB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35B76E9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项目管理制度执行规范性</w:t>
            </w:r>
          </w:p>
        </w:tc>
        <w:tc>
          <w:tcPr>
            <w:tcW w:w="600" w:type="dxa"/>
            <w:vAlign w:val="center"/>
          </w:tcPr>
          <w:p w14:paraId="00A8433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674584B0">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是否严格按照项目管理制度执行。</w:t>
            </w:r>
          </w:p>
        </w:tc>
        <w:tc>
          <w:tcPr>
            <w:tcW w:w="655" w:type="dxa"/>
            <w:shd w:val="clear" w:color="auto" w:fill="auto"/>
            <w:vAlign w:val="center"/>
          </w:tcPr>
          <w:p w14:paraId="6CE183A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597E2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3125C9D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7BF0C20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人员管理</w:t>
            </w:r>
          </w:p>
        </w:tc>
        <w:tc>
          <w:tcPr>
            <w:tcW w:w="3180" w:type="dxa"/>
            <w:shd w:val="clear" w:color="auto" w:fill="auto"/>
            <w:vAlign w:val="center"/>
          </w:tcPr>
          <w:p w14:paraId="742F4AF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人员管理制度健全性</w:t>
            </w:r>
          </w:p>
        </w:tc>
        <w:tc>
          <w:tcPr>
            <w:tcW w:w="600" w:type="dxa"/>
            <w:vAlign w:val="center"/>
          </w:tcPr>
          <w:p w14:paraId="2D12CBD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0D08070C">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人员管理制度是否健全。</w:t>
            </w:r>
          </w:p>
        </w:tc>
        <w:tc>
          <w:tcPr>
            <w:tcW w:w="655" w:type="dxa"/>
            <w:shd w:val="clear" w:color="auto" w:fill="auto"/>
            <w:vAlign w:val="center"/>
          </w:tcPr>
          <w:p w14:paraId="4DE1778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674DF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jc w:val="center"/>
        </w:trPr>
        <w:tc>
          <w:tcPr>
            <w:tcW w:w="1482" w:type="dxa"/>
            <w:vMerge w:val="continue"/>
            <w:vAlign w:val="center"/>
          </w:tcPr>
          <w:p w14:paraId="4826D55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46100C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678588A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人员管理制度执行有效性</w:t>
            </w:r>
          </w:p>
        </w:tc>
        <w:tc>
          <w:tcPr>
            <w:tcW w:w="600" w:type="dxa"/>
            <w:vAlign w:val="center"/>
          </w:tcPr>
          <w:p w14:paraId="10D0060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51180984">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是否有效执行人员管理制度。</w:t>
            </w:r>
          </w:p>
        </w:tc>
        <w:tc>
          <w:tcPr>
            <w:tcW w:w="655" w:type="dxa"/>
            <w:shd w:val="clear" w:color="auto" w:fill="auto"/>
            <w:vAlign w:val="center"/>
          </w:tcPr>
          <w:p w14:paraId="3193995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0C17D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F08F9F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8B3156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5CCF576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在职人员控制率</w:t>
            </w:r>
          </w:p>
        </w:tc>
        <w:tc>
          <w:tcPr>
            <w:tcW w:w="600" w:type="dxa"/>
            <w:vAlign w:val="center"/>
          </w:tcPr>
          <w:p w14:paraId="26AD408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73F34121">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在职人员是否控制在规定内。</w:t>
            </w:r>
          </w:p>
        </w:tc>
        <w:tc>
          <w:tcPr>
            <w:tcW w:w="655" w:type="dxa"/>
            <w:shd w:val="clear" w:color="auto" w:fill="auto"/>
            <w:vAlign w:val="center"/>
          </w:tcPr>
          <w:p w14:paraId="0F5EF8D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74CCB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7A064B0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2D889C3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机构建设</w:t>
            </w:r>
          </w:p>
        </w:tc>
        <w:tc>
          <w:tcPr>
            <w:tcW w:w="3180" w:type="dxa"/>
            <w:shd w:val="clear" w:color="auto" w:fill="auto"/>
            <w:vAlign w:val="center"/>
          </w:tcPr>
          <w:p w14:paraId="7A2A7A2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组织建设工作及时完成率</w:t>
            </w:r>
          </w:p>
        </w:tc>
        <w:tc>
          <w:tcPr>
            <w:tcW w:w="600" w:type="dxa"/>
            <w:vAlign w:val="center"/>
          </w:tcPr>
          <w:p w14:paraId="5E69122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4893A88B">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是否及时完成组织建设工作。</w:t>
            </w:r>
          </w:p>
        </w:tc>
        <w:tc>
          <w:tcPr>
            <w:tcW w:w="655" w:type="dxa"/>
            <w:shd w:val="clear" w:color="auto" w:fill="auto"/>
            <w:vAlign w:val="center"/>
          </w:tcPr>
          <w:p w14:paraId="109A9A6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1F205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392B84D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020743B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3509B6E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业务学习与培训及时完成率</w:t>
            </w:r>
          </w:p>
        </w:tc>
        <w:tc>
          <w:tcPr>
            <w:tcW w:w="600" w:type="dxa"/>
            <w:vAlign w:val="center"/>
          </w:tcPr>
          <w:p w14:paraId="17A0776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35428633">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是否及时完成业务学习与培训。</w:t>
            </w:r>
          </w:p>
        </w:tc>
        <w:tc>
          <w:tcPr>
            <w:tcW w:w="655" w:type="dxa"/>
            <w:shd w:val="clear" w:color="auto" w:fill="auto"/>
            <w:vAlign w:val="center"/>
          </w:tcPr>
          <w:p w14:paraId="66AE3D1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24B8F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491C32E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63E99D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shd w:val="clear" w:color="auto" w:fill="auto"/>
            <w:vAlign w:val="center"/>
          </w:tcPr>
          <w:p w14:paraId="6D75783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纪检监察工作有效性</w:t>
            </w:r>
          </w:p>
        </w:tc>
        <w:tc>
          <w:tcPr>
            <w:tcW w:w="600" w:type="dxa"/>
            <w:vAlign w:val="center"/>
          </w:tcPr>
          <w:p w14:paraId="033EFBA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c>
          <w:tcPr>
            <w:tcW w:w="4335" w:type="dxa"/>
            <w:vAlign w:val="center"/>
          </w:tcPr>
          <w:p w14:paraId="11D37221">
            <w:pPr>
              <w:keepNext w:val="0"/>
              <w:keepLines w:val="0"/>
              <w:pageBreakBefore w:val="0"/>
              <w:kinsoku/>
              <w:wordWrap/>
              <w:overflowPunct/>
              <w:topLinePunct w:val="0"/>
              <w:autoSpaceDE/>
              <w:autoSpaceDN/>
              <w:bidi w:val="0"/>
              <w:adjustRightInd/>
              <w:snapToGrid/>
              <w:spacing w:line="590" w:lineRule="exact"/>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是否保证纪检监察工作有效开展。</w:t>
            </w:r>
          </w:p>
        </w:tc>
        <w:tc>
          <w:tcPr>
            <w:tcW w:w="655" w:type="dxa"/>
            <w:shd w:val="clear" w:color="auto" w:fill="auto"/>
            <w:vAlign w:val="center"/>
          </w:tcPr>
          <w:p w14:paraId="6F3FAB7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0</w:t>
            </w: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p>
        </w:tc>
      </w:tr>
      <w:tr w14:paraId="1A888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restart"/>
            <w:vAlign w:val="center"/>
          </w:tcPr>
          <w:p w14:paraId="46A2FFC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履职（</w:t>
            </w:r>
            <w:r>
              <w:rPr>
                <w:rFonts w:hint="eastAsia" w:ascii="Times New Roman" w:hAnsi="Times New Roman" w:eastAsia="方正仿宋_GB2312" w:cs="方正仿宋_GB2312"/>
                <w:sz w:val="24"/>
                <w:szCs w:val="24"/>
              </w:rPr>
              <w:t>35</w:t>
            </w:r>
            <w:r>
              <w:rPr>
                <w:rFonts w:hint="eastAsia" w:ascii="方正仿宋_GB2312" w:hAnsi="方正仿宋_GB2312" w:eastAsia="方正仿宋_GB2312" w:cs="方正仿宋_GB2312"/>
                <w:sz w:val="24"/>
                <w:szCs w:val="24"/>
              </w:rPr>
              <w:t>）</w:t>
            </w:r>
          </w:p>
          <w:p w14:paraId="004D9CB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26480C8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组织建设</w:t>
            </w:r>
          </w:p>
        </w:tc>
        <w:tc>
          <w:tcPr>
            <w:tcW w:w="3180" w:type="dxa"/>
            <w:vAlign w:val="center"/>
          </w:tcPr>
          <w:p w14:paraId="267D49E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盟员发展</w:t>
            </w:r>
          </w:p>
        </w:tc>
        <w:tc>
          <w:tcPr>
            <w:tcW w:w="600" w:type="dxa"/>
          </w:tcPr>
          <w:p w14:paraId="4DDE3FF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shd w:val="clear" w:color="auto" w:fill="auto"/>
            <w:vAlign w:val="center"/>
          </w:tcPr>
          <w:p w14:paraId="6DC0C325">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sz w:val="24"/>
                <w:szCs w:val="24"/>
              </w:rPr>
              <w:t>严格按照要求发展盟员。</w:t>
            </w:r>
          </w:p>
        </w:tc>
        <w:tc>
          <w:tcPr>
            <w:tcW w:w="655" w:type="dxa"/>
            <w:shd w:val="clear" w:color="auto" w:fill="auto"/>
          </w:tcPr>
          <w:p w14:paraId="21014EF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1F92D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6911D6C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01E7449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625E502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活动次数</w:t>
            </w:r>
          </w:p>
        </w:tc>
        <w:tc>
          <w:tcPr>
            <w:tcW w:w="600" w:type="dxa"/>
          </w:tcPr>
          <w:p w14:paraId="7D9C8E1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2282EC65">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6</w:t>
            </w:r>
            <w:r>
              <w:rPr>
                <w:rFonts w:hint="eastAsia" w:ascii="方正仿宋_GB2312" w:hAnsi="方正仿宋_GB2312" w:eastAsia="方正仿宋_GB2312" w:cs="方正仿宋_GB2312"/>
                <w:sz w:val="24"/>
                <w:szCs w:val="24"/>
              </w:rPr>
              <w:t>次</w:t>
            </w:r>
          </w:p>
        </w:tc>
        <w:tc>
          <w:tcPr>
            <w:tcW w:w="655" w:type="dxa"/>
            <w:shd w:val="clear" w:color="auto" w:fill="auto"/>
          </w:tcPr>
          <w:p w14:paraId="7F498DC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0D88D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1482" w:type="dxa"/>
            <w:vMerge w:val="continue"/>
            <w:vAlign w:val="center"/>
          </w:tcPr>
          <w:p w14:paraId="7E1EE64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379B06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C01199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新盟员培训</w:t>
            </w:r>
          </w:p>
        </w:tc>
        <w:tc>
          <w:tcPr>
            <w:tcW w:w="600" w:type="dxa"/>
          </w:tcPr>
          <w:p w14:paraId="1A49CDB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3AD28A02">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1</w:t>
            </w:r>
            <w:r>
              <w:rPr>
                <w:rFonts w:hint="eastAsia" w:ascii="方正仿宋_GB2312" w:hAnsi="方正仿宋_GB2312" w:eastAsia="方正仿宋_GB2312" w:cs="方正仿宋_GB2312"/>
                <w:sz w:val="24"/>
                <w:szCs w:val="24"/>
              </w:rPr>
              <w:t>次</w:t>
            </w:r>
          </w:p>
        </w:tc>
        <w:tc>
          <w:tcPr>
            <w:tcW w:w="655" w:type="dxa"/>
            <w:shd w:val="clear" w:color="auto" w:fill="auto"/>
          </w:tcPr>
          <w:p w14:paraId="567BEDA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2F0E6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339FC20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6A97B9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4609DDD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骨干盟员培训</w:t>
            </w:r>
          </w:p>
        </w:tc>
        <w:tc>
          <w:tcPr>
            <w:tcW w:w="600" w:type="dxa"/>
          </w:tcPr>
          <w:p w14:paraId="76DA36D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4A173BEF">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1</w:t>
            </w:r>
            <w:r>
              <w:rPr>
                <w:rFonts w:hint="eastAsia" w:ascii="方正仿宋_GB2312" w:hAnsi="方正仿宋_GB2312" w:eastAsia="方正仿宋_GB2312" w:cs="方正仿宋_GB2312"/>
                <w:sz w:val="24"/>
                <w:szCs w:val="24"/>
              </w:rPr>
              <w:t>次</w:t>
            </w:r>
          </w:p>
        </w:tc>
        <w:tc>
          <w:tcPr>
            <w:tcW w:w="655" w:type="dxa"/>
            <w:shd w:val="clear" w:color="auto" w:fill="auto"/>
          </w:tcPr>
          <w:p w14:paraId="0F8DEA3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6A73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5BF7C3E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77F0987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思想宣传</w:t>
            </w:r>
          </w:p>
        </w:tc>
        <w:tc>
          <w:tcPr>
            <w:tcW w:w="3180" w:type="dxa"/>
            <w:vAlign w:val="center"/>
          </w:tcPr>
          <w:p w14:paraId="29EA880F">
            <w:pPr>
              <w:keepNext w:val="0"/>
              <w:keepLines w:val="0"/>
              <w:pageBreakBefore w:val="0"/>
              <w:widowControl/>
              <w:kinsoku/>
              <w:wordWrap/>
              <w:overflowPunct/>
              <w:topLinePunct w:val="0"/>
              <w:autoSpaceDE/>
              <w:autoSpaceDN/>
              <w:bidi w:val="0"/>
              <w:adjustRightInd/>
              <w:snapToGrid/>
              <w:spacing w:line="590" w:lineRule="exact"/>
              <w:jc w:val="center"/>
              <w:textAlignment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sz w:val="24"/>
                <w:szCs w:val="24"/>
              </w:rPr>
              <w:t>理论研究征文</w:t>
            </w:r>
          </w:p>
        </w:tc>
        <w:tc>
          <w:tcPr>
            <w:tcW w:w="600" w:type="dxa"/>
          </w:tcPr>
          <w:p w14:paraId="2A712F4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22BE4034">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1</w:t>
            </w:r>
            <w:r>
              <w:rPr>
                <w:rFonts w:hint="eastAsia" w:ascii="方正仿宋_GB2312" w:hAnsi="方正仿宋_GB2312" w:eastAsia="方正仿宋_GB2312" w:cs="方正仿宋_GB2312"/>
                <w:sz w:val="24"/>
                <w:szCs w:val="24"/>
              </w:rPr>
              <w:t>篇</w:t>
            </w:r>
          </w:p>
        </w:tc>
        <w:tc>
          <w:tcPr>
            <w:tcW w:w="655" w:type="dxa"/>
            <w:shd w:val="clear" w:color="auto" w:fill="auto"/>
          </w:tcPr>
          <w:p w14:paraId="448FB2C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44A92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50B523A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06EEED8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0BD06929">
            <w:pPr>
              <w:keepNext w:val="0"/>
              <w:keepLines w:val="0"/>
              <w:pageBreakBefore w:val="0"/>
              <w:widowControl/>
              <w:kinsoku/>
              <w:wordWrap/>
              <w:overflowPunct/>
              <w:topLinePunct w:val="0"/>
              <w:autoSpaceDE/>
              <w:autoSpaceDN/>
              <w:bidi w:val="0"/>
              <w:adjustRightInd/>
              <w:snapToGrid/>
              <w:spacing w:line="590" w:lineRule="exact"/>
              <w:jc w:val="center"/>
              <w:textAlignment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sz w:val="24"/>
                <w:szCs w:val="24"/>
              </w:rPr>
              <w:t>网站推送</w:t>
            </w:r>
          </w:p>
        </w:tc>
        <w:tc>
          <w:tcPr>
            <w:tcW w:w="600" w:type="dxa"/>
          </w:tcPr>
          <w:p w14:paraId="37E88F9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76BC8536">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280</w:t>
            </w:r>
            <w:r>
              <w:rPr>
                <w:rFonts w:hint="eastAsia" w:ascii="方正仿宋_GB2312" w:hAnsi="方正仿宋_GB2312" w:eastAsia="方正仿宋_GB2312" w:cs="方正仿宋_GB2312"/>
                <w:sz w:val="24"/>
                <w:szCs w:val="24"/>
              </w:rPr>
              <w:t>篇</w:t>
            </w:r>
          </w:p>
        </w:tc>
        <w:tc>
          <w:tcPr>
            <w:tcW w:w="655" w:type="dxa"/>
            <w:shd w:val="clear" w:color="auto" w:fill="auto"/>
          </w:tcPr>
          <w:p w14:paraId="5048336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0C067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482" w:type="dxa"/>
            <w:vMerge w:val="continue"/>
            <w:vAlign w:val="center"/>
          </w:tcPr>
          <w:p w14:paraId="58D30B2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D1BDFA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481D411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微信公众号推送</w:t>
            </w:r>
          </w:p>
        </w:tc>
        <w:tc>
          <w:tcPr>
            <w:tcW w:w="600" w:type="dxa"/>
          </w:tcPr>
          <w:p w14:paraId="28EA95F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73CC6970">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60</w:t>
            </w:r>
            <w:r>
              <w:rPr>
                <w:rFonts w:hint="eastAsia" w:ascii="方正仿宋_GB2312" w:hAnsi="方正仿宋_GB2312" w:eastAsia="方正仿宋_GB2312" w:cs="方正仿宋_GB2312"/>
                <w:sz w:val="24"/>
                <w:szCs w:val="24"/>
              </w:rPr>
              <w:t>篇</w:t>
            </w:r>
          </w:p>
        </w:tc>
        <w:tc>
          <w:tcPr>
            <w:tcW w:w="655" w:type="dxa"/>
            <w:shd w:val="clear" w:color="auto" w:fill="auto"/>
          </w:tcPr>
          <w:p w14:paraId="2101474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4A30D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482" w:type="dxa"/>
            <w:vMerge w:val="continue"/>
            <w:vAlign w:val="center"/>
          </w:tcPr>
          <w:p w14:paraId="7F5ACFF0">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10B5F7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2868798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媒体网站发稿</w:t>
            </w:r>
          </w:p>
        </w:tc>
        <w:tc>
          <w:tcPr>
            <w:tcW w:w="600" w:type="dxa"/>
          </w:tcPr>
          <w:p w14:paraId="502EB15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6AD1F4C9">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200</w:t>
            </w:r>
            <w:r>
              <w:rPr>
                <w:rFonts w:hint="eastAsia" w:ascii="方正仿宋_GB2312" w:hAnsi="方正仿宋_GB2312" w:eastAsia="方正仿宋_GB2312" w:cs="方正仿宋_GB2312"/>
                <w:sz w:val="24"/>
                <w:szCs w:val="24"/>
              </w:rPr>
              <w:t>篇</w:t>
            </w:r>
          </w:p>
        </w:tc>
        <w:tc>
          <w:tcPr>
            <w:tcW w:w="655" w:type="dxa"/>
            <w:shd w:val="clear" w:color="auto" w:fill="auto"/>
          </w:tcPr>
          <w:p w14:paraId="525B945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24EEA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482" w:type="dxa"/>
            <w:vMerge w:val="continue"/>
            <w:vAlign w:val="center"/>
          </w:tcPr>
          <w:p w14:paraId="65D8224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367F25C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73C4A17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政治学习</w:t>
            </w:r>
          </w:p>
        </w:tc>
        <w:tc>
          <w:tcPr>
            <w:tcW w:w="600" w:type="dxa"/>
          </w:tcPr>
          <w:p w14:paraId="4BB56B6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15CDF39E">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2</w:t>
            </w:r>
            <w:r>
              <w:rPr>
                <w:rFonts w:hint="eastAsia" w:ascii="方正仿宋_GB2312" w:hAnsi="方正仿宋_GB2312" w:eastAsia="方正仿宋_GB2312" w:cs="方正仿宋_GB2312"/>
                <w:sz w:val="24"/>
                <w:szCs w:val="24"/>
              </w:rPr>
              <w:t>次</w:t>
            </w:r>
          </w:p>
        </w:tc>
        <w:tc>
          <w:tcPr>
            <w:tcW w:w="655" w:type="dxa"/>
            <w:shd w:val="clear" w:color="auto" w:fill="auto"/>
          </w:tcPr>
          <w:p w14:paraId="35CB878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27CE5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482" w:type="dxa"/>
            <w:vMerge w:val="continue"/>
            <w:vAlign w:val="center"/>
          </w:tcPr>
          <w:p w14:paraId="7C6B9AB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E3C7A1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3152B99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现场教学</w:t>
            </w:r>
          </w:p>
        </w:tc>
        <w:tc>
          <w:tcPr>
            <w:tcW w:w="600" w:type="dxa"/>
          </w:tcPr>
          <w:p w14:paraId="5031130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7F435192">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2</w:t>
            </w:r>
            <w:r>
              <w:rPr>
                <w:rFonts w:hint="eastAsia" w:ascii="方正仿宋_GB2312" w:hAnsi="方正仿宋_GB2312" w:eastAsia="方正仿宋_GB2312" w:cs="方正仿宋_GB2312"/>
                <w:sz w:val="24"/>
                <w:szCs w:val="24"/>
              </w:rPr>
              <w:t>次</w:t>
            </w:r>
          </w:p>
        </w:tc>
        <w:tc>
          <w:tcPr>
            <w:tcW w:w="655" w:type="dxa"/>
            <w:shd w:val="clear" w:color="auto" w:fill="auto"/>
          </w:tcPr>
          <w:p w14:paraId="02801B2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01AB9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1423AF2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197C892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参政议政</w:t>
            </w:r>
          </w:p>
        </w:tc>
        <w:tc>
          <w:tcPr>
            <w:tcW w:w="3180" w:type="dxa"/>
            <w:vAlign w:val="center"/>
          </w:tcPr>
          <w:p w14:paraId="1613CA9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社情民意信息</w:t>
            </w:r>
          </w:p>
        </w:tc>
        <w:tc>
          <w:tcPr>
            <w:tcW w:w="600" w:type="dxa"/>
          </w:tcPr>
          <w:p w14:paraId="5083829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16FBAB6D">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140</w:t>
            </w:r>
            <w:r>
              <w:rPr>
                <w:rFonts w:hint="eastAsia" w:ascii="方正仿宋_GB2312" w:hAnsi="方正仿宋_GB2312" w:eastAsia="方正仿宋_GB2312" w:cs="方正仿宋_GB2312"/>
                <w:sz w:val="24"/>
                <w:szCs w:val="24"/>
              </w:rPr>
              <w:t>篇</w:t>
            </w:r>
          </w:p>
        </w:tc>
        <w:tc>
          <w:tcPr>
            <w:tcW w:w="655" w:type="dxa"/>
            <w:shd w:val="clear" w:color="auto" w:fill="auto"/>
          </w:tcPr>
          <w:p w14:paraId="4AA6621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57AFE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jc w:val="center"/>
        </w:trPr>
        <w:tc>
          <w:tcPr>
            <w:tcW w:w="1482" w:type="dxa"/>
            <w:vMerge w:val="continue"/>
            <w:vAlign w:val="center"/>
          </w:tcPr>
          <w:p w14:paraId="34B0635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76E4008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1F7082B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采纳率</w:t>
            </w:r>
          </w:p>
        </w:tc>
        <w:tc>
          <w:tcPr>
            <w:tcW w:w="600" w:type="dxa"/>
          </w:tcPr>
          <w:p w14:paraId="417433F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c>
          <w:tcPr>
            <w:tcW w:w="4335" w:type="dxa"/>
            <w:vAlign w:val="center"/>
          </w:tcPr>
          <w:p w14:paraId="1419BFE2">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32</w:t>
            </w:r>
            <w:r>
              <w:rPr>
                <w:rFonts w:hint="eastAsia" w:ascii="方正仿宋_GB2312" w:hAnsi="方正仿宋_GB2312" w:eastAsia="方正仿宋_GB2312" w:cs="方正仿宋_GB2312"/>
                <w:sz w:val="24"/>
                <w:szCs w:val="24"/>
              </w:rPr>
              <w:t>%</w:t>
            </w:r>
          </w:p>
        </w:tc>
        <w:tc>
          <w:tcPr>
            <w:tcW w:w="655" w:type="dxa"/>
            <w:shd w:val="clear" w:color="auto" w:fill="auto"/>
          </w:tcPr>
          <w:p w14:paraId="7654E3F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3</w:t>
            </w:r>
          </w:p>
        </w:tc>
      </w:tr>
      <w:tr w14:paraId="117A2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Merge w:val="continue"/>
            <w:vAlign w:val="center"/>
          </w:tcPr>
          <w:p w14:paraId="05091CA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40E6A40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6DDDAD8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调研报告</w:t>
            </w:r>
          </w:p>
        </w:tc>
        <w:tc>
          <w:tcPr>
            <w:tcW w:w="600" w:type="dxa"/>
          </w:tcPr>
          <w:p w14:paraId="3A3468B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243935BA">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8</w:t>
            </w:r>
            <w:r>
              <w:rPr>
                <w:rFonts w:hint="eastAsia" w:ascii="方正仿宋_GB2312" w:hAnsi="方正仿宋_GB2312" w:eastAsia="方正仿宋_GB2312" w:cs="方正仿宋_GB2312"/>
                <w:sz w:val="24"/>
                <w:szCs w:val="24"/>
              </w:rPr>
              <w:t>篇</w:t>
            </w:r>
          </w:p>
        </w:tc>
        <w:tc>
          <w:tcPr>
            <w:tcW w:w="655" w:type="dxa"/>
            <w:shd w:val="clear" w:color="auto" w:fill="auto"/>
          </w:tcPr>
          <w:p w14:paraId="435ADD8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25A71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 w:hRule="atLeast"/>
          <w:jc w:val="center"/>
        </w:trPr>
        <w:tc>
          <w:tcPr>
            <w:tcW w:w="1482" w:type="dxa"/>
            <w:vMerge w:val="continue"/>
            <w:vAlign w:val="center"/>
          </w:tcPr>
          <w:p w14:paraId="75B2525B">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restart"/>
            <w:vAlign w:val="center"/>
          </w:tcPr>
          <w:p w14:paraId="0B1732C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社会服务</w:t>
            </w:r>
          </w:p>
        </w:tc>
        <w:tc>
          <w:tcPr>
            <w:tcW w:w="3180" w:type="dxa"/>
            <w:vAlign w:val="center"/>
          </w:tcPr>
          <w:p w14:paraId="05FADB5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教育帮扶</w:t>
            </w:r>
          </w:p>
        </w:tc>
        <w:tc>
          <w:tcPr>
            <w:tcW w:w="600" w:type="dxa"/>
          </w:tcPr>
          <w:p w14:paraId="4DEEEF7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25724B0B">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1</w:t>
            </w:r>
            <w:r>
              <w:rPr>
                <w:rFonts w:hint="eastAsia" w:ascii="方正仿宋_GB2312" w:hAnsi="方正仿宋_GB2312" w:eastAsia="方正仿宋_GB2312" w:cs="方正仿宋_GB2312"/>
                <w:sz w:val="24"/>
                <w:szCs w:val="24"/>
              </w:rPr>
              <w:t>次</w:t>
            </w:r>
          </w:p>
        </w:tc>
        <w:tc>
          <w:tcPr>
            <w:tcW w:w="655" w:type="dxa"/>
            <w:shd w:val="clear" w:color="auto" w:fill="auto"/>
          </w:tcPr>
          <w:p w14:paraId="5013385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5B1EE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82" w:type="dxa"/>
            <w:vMerge w:val="continue"/>
            <w:vAlign w:val="center"/>
          </w:tcPr>
          <w:p w14:paraId="33551CC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5DF05F3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2E86261C">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进监帮教</w:t>
            </w:r>
          </w:p>
        </w:tc>
        <w:tc>
          <w:tcPr>
            <w:tcW w:w="600" w:type="dxa"/>
          </w:tcPr>
          <w:p w14:paraId="2161CC7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c>
          <w:tcPr>
            <w:tcW w:w="4335" w:type="dxa"/>
            <w:vAlign w:val="center"/>
          </w:tcPr>
          <w:p w14:paraId="3573F28A">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w:t>
            </w:r>
            <w:r>
              <w:rPr>
                <w:rFonts w:hint="eastAsia" w:ascii="Times New Roman" w:hAnsi="Times New Roman" w:eastAsia="方正仿宋_GB2312" w:cs="方正仿宋_GB2312"/>
                <w:sz w:val="24"/>
                <w:szCs w:val="24"/>
              </w:rPr>
              <w:t>5</w:t>
            </w:r>
            <w:r>
              <w:rPr>
                <w:rFonts w:hint="eastAsia" w:ascii="方正仿宋_GB2312" w:hAnsi="方正仿宋_GB2312" w:eastAsia="方正仿宋_GB2312" w:cs="方正仿宋_GB2312"/>
                <w:sz w:val="24"/>
                <w:szCs w:val="24"/>
              </w:rPr>
              <w:t>次</w:t>
            </w:r>
          </w:p>
        </w:tc>
        <w:tc>
          <w:tcPr>
            <w:tcW w:w="655" w:type="dxa"/>
            <w:shd w:val="clear" w:color="auto" w:fill="auto"/>
          </w:tcPr>
          <w:p w14:paraId="7DA82E4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2</w:t>
            </w:r>
          </w:p>
        </w:tc>
      </w:tr>
      <w:tr w14:paraId="3F724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482" w:type="dxa"/>
            <w:vMerge w:val="restart"/>
            <w:vAlign w:val="center"/>
          </w:tcPr>
          <w:p w14:paraId="35AD52C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效益指标（</w:t>
            </w:r>
            <w:r>
              <w:rPr>
                <w:rFonts w:hint="eastAsia" w:ascii="Times New Roman" w:hAnsi="Times New Roman" w:eastAsia="方正仿宋_GB2312" w:cs="方正仿宋_GB2312"/>
                <w:sz w:val="24"/>
                <w:szCs w:val="24"/>
              </w:rPr>
              <w:t>20</w:t>
            </w:r>
            <w:r>
              <w:rPr>
                <w:rFonts w:hint="eastAsia" w:ascii="方正仿宋_GB2312" w:hAnsi="方正仿宋_GB2312" w:eastAsia="方正仿宋_GB2312" w:cs="方正仿宋_GB2312"/>
                <w:sz w:val="24"/>
                <w:szCs w:val="24"/>
              </w:rPr>
              <w:t>）</w:t>
            </w:r>
          </w:p>
        </w:tc>
        <w:tc>
          <w:tcPr>
            <w:tcW w:w="1185" w:type="dxa"/>
            <w:vMerge w:val="restart"/>
            <w:vAlign w:val="center"/>
          </w:tcPr>
          <w:p w14:paraId="0741EAE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社会效益</w:t>
            </w:r>
          </w:p>
        </w:tc>
        <w:tc>
          <w:tcPr>
            <w:tcW w:w="3180" w:type="dxa"/>
            <w:vAlign w:val="center"/>
          </w:tcPr>
          <w:p w14:paraId="5C0E7B1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基层建设</w:t>
            </w:r>
          </w:p>
        </w:tc>
        <w:tc>
          <w:tcPr>
            <w:tcW w:w="600" w:type="dxa"/>
            <w:vAlign w:val="center"/>
          </w:tcPr>
          <w:p w14:paraId="04E6D282">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c>
          <w:tcPr>
            <w:tcW w:w="4335" w:type="dxa"/>
            <w:vAlign w:val="center"/>
          </w:tcPr>
          <w:p w14:paraId="065CC037">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基层建设是否日趋完善。</w:t>
            </w:r>
          </w:p>
        </w:tc>
        <w:tc>
          <w:tcPr>
            <w:tcW w:w="655" w:type="dxa"/>
            <w:shd w:val="clear" w:color="auto" w:fill="auto"/>
            <w:vAlign w:val="center"/>
          </w:tcPr>
          <w:p w14:paraId="2BC5F27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r>
      <w:tr w14:paraId="40AE8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1482" w:type="dxa"/>
            <w:vMerge w:val="continue"/>
            <w:vAlign w:val="center"/>
          </w:tcPr>
          <w:p w14:paraId="7F9123F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1185" w:type="dxa"/>
            <w:vMerge w:val="continue"/>
            <w:vAlign w:val="center"/>
          </w:tcPr>
          <w:p w14:paraId="25AB02C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1407B798">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履职能力</w:t>
            </w:r>
          </w:p>
        </w:tc>
        <w:tc>
          <w:tcPr>
            <w:tcW w:w="600" w:type="dxa"/>
            <w:vAlign w:val="center"/>
          </w:tcPr>
          <w:p w14:paraId="3921FEB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c>
          <w:tcPr>
            <w:tcW w:w="4335" w:type="dxa"/>
            <w:vAlign w:val="center"/>
          </w:tcPr>
          <w:p w14:paraId="0FFA7E62">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部门履职能力是否有效提升。</w:t>
            </w:r>
          </w:p>
        </w:tc>
        <w:tc>
          <w:tcPr>
            <w:tcW w:w="655" w:type="dxa"/>
            <w:shd w:val="clear" w:color="auto" w:fill="auto"/>
            <w:vAlign w:val="center"/>
          </w:tcPr>
          <w:p w14:paraId="19DDE827">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r>
      <w:tr w14:paraId="5CFBA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82" w:type="dxa"/>
            <w:vAlign w:val="center"/>
          </w:tcPr>
          <w:p w14:paraId="29202569">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满意度指标（</w:t>
            </w:r>
            <w:r>
              <w:rPr>
                <w:rFonts w:hint="eastAsia" w:ascii="Times New Roman" w:hAnsi="Times New Roman" w:eastAsia="方正仿宋_GB2312" w:cs="方正仿宋_GB2312"/>
                <w:sz w:val="24"/>
                <w:szCs w:val="24"/>
              </w:rPr>
              <w:t>10</w:t>
            </w:r>
            <w:r>
              <w:rPr>
                <w:rFonts w:hint="eastAsia" w:ascii="方正仿宋_GB2312" w:hAnsi="方正仿宋_GB2312" w:eastAsia="方正仿宋_GB2312" w:cs="方正仿宋_GB2312"/>
                <w:sz w:val="24"/>
                <w:szCs w:val="24"/>
              </w:rPr>
              <w:t>）</w:t>
            </w:r>
          </w:p>
        </w:tc>
        <w:tc>
          <w:tcPr>
            <w:tcW w:w="1185" w:type="dxa"/>
            <w:vAlign w:val="center"/>
          </w:tcPr>
          <w:p w14:paraId="4684CB85">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满意度</w:t>
            </w:r>
          </w:p>
        </w:tc>
        <w:tc>
          <w:tcPr>
            <w:tcW w:w="3180" w:type="dxa"/>
            <w:vAlign w:val="center"/>
          </w:tcPr>
          <w:p w14:paraId="59E5B05E">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盟员评价</w:t>
            </w:r>
          </w:p>
        </w:tc>
        <w:tc>
          <w:tcPr>
            <w:tcW w:w="600" w:type="dxa"/>
            <w:vAlign w:val="center"/>
          </w:tcPr>
          <w:p w14:paraId="30E3CF3D">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c>
          <w:tcPr>
            <w:tcW w:w="4335" w:type="dxa"/>
            <w:vAlign w:val="center"/>
          </w:tcPr>
          <w:p w14:paraId="69937155">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盟员对机关工作评价。</w:t>
            </w:r>
          </w:p>
        </w:tc>
        <w:tc>
          <w:tcPr>
            <w:tcW w:w="655" w:type="dxa"/>
            <w:shd w:val="clear" w:color="auto" w:fill="auto"/>
            <w:vAlign w:val="center"/>
          </w:tcPr>
          <w:p w14:paraId="2DC7C641">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10</w:t>
            </w:r>
          </w:p>
        </w:tc>
      </w:tr>
      <w:tr w14:paraId="1F7C9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1482" w:type="dxa"/>
            <w:vAlign w:val="center"/>
          </w:tcPr>
          <w:p w14:paraId="358F09DF">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自评价结论</w:t>
            </w:r>
          </w:p>
        </w:tc>
        <w:tc>
          <w:tcPr>
            <w:tcW w:w="1185" w:type="dxa"/>
            <w:vAlign w:val="center"/>
          </w:tcPr>
          <w:p w14:paraId="663B9A44">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3180" w:type="dxa"/>
            <w:vAlign w:val="center"/>
          </w:tcPr>
          <w:p w14:paraId="3C93EDEA">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600" w:type="dxa"/>
            <w:vAlign w:val="center"/>
          </w:tcPr>
          <w:p w14:paraId="524C81D3">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p>
        </w:tc>
        <w:tc>
          <w:tcPr>
            <w:tcW w:w="4335" w:type="dxa"/>
            <w:vAlign w:val="center"/>
          </w:tcPr>
          <w:p w14:paraId="5EF41210">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sz w:val="24"/>
                <w:szCs w:val="24"/>
              </w:rPr>
            </w:pPr>
          </w:p>
        </w:tc>
        <w:tc>
          <w:tcPr>
            <w:tcW w:w="655" w:type="dxa"/>
          </w:tcPr>
          <w:p w14:paraId="2D03E486">
            <w:pPr>
              <w:keepNext w:val="0"/>
              <w:keepLines w:val="0"/>
              <w:pageBreakBefore w:val="0"/>
              <w:kinsoku/>
              <w:wordWrap/>
              <w:overflowPunct/>
              <w:topLinePunct w:val="0"/>
              <w:autoSpaceDE/>
              <w:autoSpaceDN/>
              <w:bidi w:val="0"/>
              <w:adjustRightInd/>
              <w:snapToGrid/>
              <w:spacing w:line="590" w:lineRule="exact"/>
              <w:jc w:val="center"/>
              <w:rPr>
                <w:rFonts w:hint="eastAsia" w:ascii="方正仿宋_GB2312" w:hAnsi="方正仿宋_GB2312" w:eastAsia="方正仿宋_GB2312" w:cs="方正仿宋_GB2312"/>
                <w:sz w:val="24"/>
                <w:szCs w:val="24"/>
              </w:rPr>
            </w:pPr>
            <w:r>
              <w:rPr>
                <w:rFonts w:hint="eastAsia" w:ascii="Times New Roman" w:hAnsi="Times New Roman" w:eastAsia="方正仿宋_GB2312" w:cs="方正仿宋_GB2312"/>
                <w:sz w:val="24"/>
                <w:szCs w:val="24"/>
              </w:rPr>
              <w:t>99</w:t>
            </w:r>
          </w:p>
        </w:tc>
      </w:tr>
    </w:tbl>
    <w:p w14:paraId="2F8802D8">
      <w:pPr>
        <w:keepNext w:val="0"/>
        <w:keepLines w:val="0"/>
        <w:pageBreakBefore w:val="0"/>
        <w:kinsoku/>
        <w:wordWrap/>
        <w:overflowPunct/>
        <w:topLinePunct w:val="0"/>
        <w:autoSpaceDE/>
        <w:autoSpaceDN/>
        <w:bidi w:val="0"/>
        <w:adjustRightInd/>
        <w:snapToGrid/>
        <w:spacing w:line="590" w:lineRule="exact"/>
        <w:rPr>
          <w:rFonts w:hint="eastAsia" w:ascii="方正仿宋_GB2312" w:hAnsi="方正仿宋_GB2312" w:eastAsia="方正仿宋_GB2312" w:cs="方正仿宋_GB2312"/>
          <w:color w:val="000000"/>
          <w:kern w:val="0"/>
          <w:sz w:val="34"/>
          <w:szCs w:val="34"/>
        </w:rPr>
      </w:pPr>
    </w:p>
    <w:sectPr>
      <w:headerReference r:id="rId3" w:type="default"/>
      <w:footerReference r:id="rId5" w:type="default"/>
      <w:headerReference r:id="rId4" w:type="even"/>
      <w:footerReference r:id="rId6" w:type="even"/>
      <w:type w:val="continuous"/>
      <w:pgSz w:w="11907" w:h="16839"/>
      <w:pgMar w:top="2098" w:right="1474" w:bottom="1701" w:left="1587" w:header="851" w:footer="1417" w:gutter="0"/>
      <w:pgNumType w:fmt="numberInDash"/>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D0117C-F6CC-4A5D-9E9D-417B677EC4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XBS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ZFSK--GBK1-0">
    <w:altName w:val="Times New Roman"/>
    <w:panose1 w:val="00000000000000000000"/>
    <w:charset w:val="00"/>
    <w:family w:val="roman"/>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E-BX">
    <w:altName w:val="Times New Roman"/>
    <w:panose1 w:val="00000000000000000000"/>
    <w:charset w:val="00"/>
    <w:family w:val="roman"/>
    <w:pitch w:val="default"/>
    <w:sig w:usb0="00000000" w:usb1="00000000" w:usb2="00000000" w:usb3="00000000" w:csb0="00000000" w:csb1="00000000"/>
  </w:font>
  <w:font w:name="E-BZ">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2" w:fontKey="{1E790028-E0BB-4A4B-AD88-190A04F02A68}"/>
  </w:font>
  <w:font w:name="楷体">
    <w:panose1 w:val="02010609060101010101"/>
    <w:charset w:val="86"/>
    <w:family w:val="modern"/>
    <w:pitch w:val="default"/>
    <w:sig w:usb0="800002BF" w:usb1="38CF7CFA" w:usb2="00000016" w:usb3="00000000" w:csb0="00040001" w:csb1="00000000"/>
    <w:embedRegular r:id="rId3" w:fontKey="{14482305-3DA5-4E6F-BCC2-2611A1E2F613}"/>
  </w:font>
  <w:font w:name="方正仿宋_GB2312">
    <w:panose1 w:val="02000000000000000000"/>
    <w:charset w:val="86"/>
    <w:family w:val="auto"/>
    <w:pitch w:val="default"/>
    <w:sig w:usb0="A00002BF" w:usb1="184F6CFA" w:usb2="00000012" w:usb3="00000000" w:csb0="00040001" w:csb1="00000000"/>
    <w:embedRegular r:id="rId4" w:fontKey="{FE0EFC8A-BF52-4AEE-B3F2-F25434550B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843B9">
    <w:pPr>
      <w:pStyle w:val="6"/>
      <w:wordWrap w:val="0"/>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p w14:paraId="1FEEDD1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DDD52">
    <w:pPr>
      <w:pStyle w:val="6"/>
      <w:ind w:firstLine="280" w:firstLineChars="100"/>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p w14:paraId="48DF49C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B83E0">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CF61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85DAD"/>
    <w:multiLevelType w:val="singleLevel"/>
    <w:tmpl w:val="02D85DAD"/>
    <w:lvl w:ilvl="0" w:tentative="0">
      <w:start w:val="2"/>
      <w:numFmt w:val="chineseCounting"/>
      <w:suff w:val="nothing"/>
      <w:lvlText w:val="（%1）"/>
      <w:lvlJc w:val="left"/>
      <w:rPr>
        <w:rFonts w:hint="eastAsia"/>
      </w:rPr>
    </w:lvl>
  </w:abstractNum>
  <w:abstractNum w:abstractNumId="1">
    <w:nsid w:val="0E8C5288"/>
    <w:multiLevelType w:val="multilevel"/>
    <w:tmpl w:val="0E8C5288"/>
    <w:lvl w:ilvl="0" w:tentative="0">
      <w:start w:val="5"/>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1431043D"/>
    <w:multiLevelType w:val="singleLevel"/>
    <w:tmpl w:val="1431043D"/>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579"/>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Y2Nzk1NmVmNmQ3NzdiMjE4YmFkNTU2YTZiNTJiZWEifQ=="/>
  </w:docVars>
  <w:rsids>
    <w:rsidRoot w:val="00172A27"/>
    <w:rsid w:val="00001367"/>
    <w:rsid w:val="00001442"/>
    <w:rsid w:val="000038D7"/>
    <w:rsid w:val="00010647"/>
    <w:rsid w:val="00012CC1"/>
    <w:rsid w:val="00027F38"/>
    <w:rsid w:val="000450B0"/>
    <w:rsid w:val="00045662"/>
    <w:rsid w:val="00056385"/>
    <w:rsid w:val="00061864"/>
    <w:rsid w:val="000700CD"/>
    <w:rsid w:val="000771AB"/>
    <w:rsid w:val="000832AE"/>
    <w:rsid w:val="0009323D"/>
    <w:rsid w:val="000A6FA7"/>
    <w:rsid w:val="000C1ADF"/>
    <w:rsid w:val="000E27B7"/>
    <w:rsid w:val="001021C2"/>
    <w:rsid w:val="0012280A"/>
    <w:rsid w:val="0013721A"/>
    <w:rsid w:val="00141728"/>
    <w:rsid w:val="00144FCD"/>
    <w:rsid w:val="00156836"/>
    <w:rsid w:val="00172A27"/>
    <w:rsid w:val="001746BB"/>
    <w:rsid w:val="00176010"/>
    <w:rsid w:val="00176A1F"/>
    <w:rsid w:val="001C5397"/>
    <w:rsid w:val="001E0458"/>
    <w:rsid w:val="001E5CCD"/>
    <w:rsid w:val="00203ADF"/>
    <w:rsid w:val="002054F0"/>
    <w:rsid w:val="002164A7"/>
    <w:rsid w:val="0021724B"/>
    <w:rsid w:val="00264F2C"/>
    <w:rsid w:val="0027249C"/>
    <w:rsid w:val="002865B3"/>
    <w:rsid w:val="00296545"/>
    <w:rsid w:val="002972EA"/>
    <w:rsid w:val="002A11E4"/>
    <w:rsid w:val="002A281D"/>
    <w:rsid w:val="002A5065"/>
    <w:rsid w:val="002B7261"/>
    <w:rsid w:val="002B7E29"/>
    <w:rsid w:val="00311B35"/>
    <w:rsid w:val="00336A17"/>
    <w:rsid w:val="00346702"/>
    <w:rsid w:val="00365E61"/>
    <w:rsid w:val="00377F41"/>
    <w:rsid w:val="003A360C"/>
    <w:rsid w:val="003B78CA"/>
    <w:rsid w:val="003D437D"/>
    <w:rsid w:val="003D529F"/>
    <w:rsid w:val="003E6009"/>
    <w:rsid w:val="003F6F25"/>
    <w:rsid w:val="00401897"/>
    <w:rsid w:val="00406E87"/>
    <w:rsid w:val="0042483D"/>
    <w:rsid w:val="004944B8"/>
    <w:rsid w:val="004952E8"/>
    <w:rsid w:val="004A189F"/>
    <w:rsid w:val="004A5740"/>
    <w:rsid w:val="004E0847"/>
    <w:rsid w:val="004F3C57"/>
    <w:rsid w:val="004F525D"/>
    <w:rsid w:val="004F69D8"/>
    <w:rsid w:val="005042C7"/>
    <w:rsid w:val="00531255"/>
    <w:rsid w:val="005313AF"/>
    <w:rsid w:val="00536FFF"/>
    <w:rsid w:val="0055454E"/>
    <w:rsid w:val="0055759F"/>
    <w:rsid w:val="0056640F"/>
    <w:rsid w:val="00595132"/>
    <w:rsid w:val="005A34E7"/>
    <w:rsid w:val="005B5058"/>
    <w:rsid w:val="005C7370"/>
    <w:rsid w:val="005C773D"/>
    <w:rsid w:val="005D5693"/>
    <w:rsid w:val="005F38DA"/>
    <w:rsid w:val="006138A4"/>
    <w:rsid w:val="00621594"/>
    <w:rsid w:val="00625AF7"/>
    <w:rsid w:val="006319C1"/>
    <w:rsid w:val="00633685"/>
    <w:rsid w:val="00653AA2"/>
    <w:rsid w:val="006712C1"/>
    <w:rsid w:val="00682653"/>
    <w:rsid w:val="006939D4"/>
    <w:rsid w:val="006C04C1"/>
    <w:rsid w:val="006C6666"/>
    <w:rsid w:val="00707376"/>
    <w:rsid w:val="00717FBE"/>
    <w:rsid w:val="00722821"/>
    <w:rsid w:val="00745767"/>
    <w:rsid w:val="0076772F"/>
    <w:rsid w:val="007D132C"/>
    <w:rsid w:val="007F2B5E"/>
    <w:rsid w:val="007F2E11"/>
    <w:rsid w:val="007F714A"/>
    <w:rsid w:val="007F753C"/>
    <w:rsid w:val="008310B0"/>
    <w:rsid w:val="008358C7"/>
    <w:rsid w:val="00867A9E"/>
    <w:rsid w:val="008806B2"/>
    <w:rsid w:val="008852A0"/>
    <w:rsid w:val="008966DC"/>
    <w:rsid w:val="008A5E18"/>
    <w:rsid w:val="008C69EB"/>
    <w:rsid w:val="008D5EE4"/>
    <w:rsid w:val="008F124D"/>
    <w:rsid w:val="008F6692"/>
    <w:rsid w:val="00912703"/>
    <w:rsid w:val="009229B2"/>
    <w:rsid w:val="00934AE2"/>
    <w:rsid w:val="00970247"/>
    <w:rsid w:val="00986706"/>
    <w:rsid w:val="00986BDB"/>
    <w:rsid w:val="00987E97"/>
    <w:rsid w:val="0099268B"/>
    <w:rsid w:val="00994A50"/>
    <w:rsid w:val="00996EB6"/>
    <w:rsid w:val="009A471E"/>
    <w:rsid w:val="009A4B4D"/>
    <w:rsid w:val="009B7D79"/>
    <w:rsid w:val="009D624C"/>
    <w:rsid w:val="009F623C"/>
    <w:rsid w:val="00A20671"/>
    <w:rsid w:val="00A2084C"/>
    <w:rsid w:val="00A26522"/>
    <w:rsid w:val="00A271A9"/>
    <w:rsid w:val="00A30DBC"/>
    <w:rsid w:val="00A56A21"/>
    <w:rsid w:val="00A652C0"/>
    <w:rsid w:val="00AC2F41"/>
    <w:rsid w:val="00AC7F8E"/>
    <w:rsid w:val="00AE382F"/>
    <w:rsid w:val="00AF7191"/>
    <w:rsid w:val="00B20484"/>
    <w:rsid w:val="00B2541F"/>
    <w:rsid w:val="00B35E14"/>
    <w:rsid w:val="00B41A6B"/>
    <w:rsid w:val="00B42DC0"/>
    <w:rsid w:val="00B51A3A"/>
    <w:rsid w:val="00B56820"/>
    <w:rsid w:val="00B85C34"/>
    <w:rsid w:val="00B957C6"/>
    <w:rsid w:val="00BF0F8E"/>
    <w:rsid w:val="00C030FA"/>
    <w:rsid w:val="00C14DE9"/>
    <w:rsid w:val="00C15460"/>
    <w:rsid w:val="00C22EA7"/>
    <w:rsid w:val="00C23080"/>
    <w:rsid w:val="00C409DA"/>
    <w:rsid w:val="00C41473"/>
    <w:rsid w:val="00C44BA8"/>
    <w:rsid w:val="00C51E3A"/>
    <w:rsid w:val="00C53801"/>
    <w:rsid w:val="00C707A9"/>
    <w:rsid w:val="00C73193"/>
    <w:rsid w:val="00C75404"/>
    <w:rsid w:val="00C80298"/>
    <w:rsid w:val="00C8191D"/>
    <w:rsid w:val="00C82166"/>
    <w:rsid w:val="00C84BE7"/>
    <w:rsid w:val="00CA43F8"/>
    <w:rsid w:val="00CA4DEC"/>
    <w:rsid w:val="00CB0171"/>
    <w:rsid w:val="00CB159B"/>
    <w:rsid w:val="00CC3D39"/>
    <w:rsid w:val="00D06934"/>
    <w:rsid w:val="00D07134"/>
    <w:rsid w:val="00D204FB"/>
    <w:rsid w:val="00D73DAC"/>
    <w:rsid w:val="00D82C78"/>
    <w:rsid w:val="00DC1392"/>
    <w:rsid w:val="00DD4BF7"/>
    <w:rsid w:val="00DD54DA"/>
    <w:rsid w:val="00DD6972"/>
    <w:rsid w:val="00E01027"/>
    <w:rsid w:val="00E0318B"/>
    <w:rsid w:val="00E222B0"/>
    <w:rsid w:val="00E342F2"/>
    <w:rsid w:val="00E4509E"/>
    <w:rsid w:val="00E9120A"/>
    <w:rsid w:val="00E953DB"/>
    <w:rsid w:val="00EC5DF9"/>
    <w:rsid w:val="00ED5745"/>
    <w:rsid w:val="00EE2E94"/>
    <w:rsid w:val="00F03101"/>
    <w:rsid w:val="00F04739"/>
    <w:rsid w:val="00F1548F"/>
    <w:rsid w:val="00F2195F"/>
    <w:rsid w:val="00F23A6B"/>
    <w:rsid w:val="00F40B00"/>
    <w:rsid w:val="00F61215"/>
    <w:rsid w:val="00F716F7"/>
    <w:rsid w:val="00F73E0A"/>
    <w:rsid w:val="00F9167D"/>
    <w:rsid w:val="00FA30BC"/>
    <w:rsid w:val="00FD4433"/>
    <w:rsid w:val="01981D96"/>
    <w:rsid w:val="03B17EF0"/>
    <w:rsid w:val="04F03C97"/>
    <w:rsid w:val="056A1C9B"/>
    <w:rsid w:val="05CF1AFF"/>
    <w:rsid w:val="06616243"/>
    <w:rsid w:val="069778EF"/>
    <w:rsid w:val="079E3E7E"/>
    <w:rsid w:val="09271C52"/>
    <w:rsid w:val="09D516AE"/>
    <w:rsid w:val="09F21297"/>
    <w:rsid w:val="0B6F074F"/>
    <w:rsid w:val="0C232BA4"/>
    <w:rsid w:val="0D071F51"/>
    <w:rsid w:val="102869DB"/>
    <w:rsid w:val="118C4CA8"/>
    <w:rsid w:val="12DE15D3"/>
    <w:rsid w:val="13001549"/>
    <w:rsid w:val="13B14068"/>
    <w:rsid w:val="13B81E24"/>
    <w:rsid w:val="14F450DE"/>
    <w:rsid w:val="16551BAC"/>
    <w:rsid w:val="168D57EA"/>
    <w:rsid w:val="171F2151"/>
    <w:rsid w:val="190F4F0A"/>
    <w:rsid w:val="191C2E55"/>
    <w:rsid w:val="19516FA3"/>
    <w:rsid w:val="1A98650B"/>
    <w:rsid w:val="1AB47FAD"/>
    <w:rsid w:val="1B0D0CA7"/>
    <w:rsid w:val="1C146065"/>
    <w:rsid w:val="1D152095"/>
    <w:rsid w:val="1EF06D45"/>
    <w:rsid w:val="1F8E612F"/>
    <w:rsid w:val="20360256"/>
    <w:rsid w:val="209F6845"/>
    <w:rsid w:val="220821C8"/>
    <w:rsid w:val="24A563F4"/>
    <w:rsid w:val="25137802"/>
    <w:rsid w:val="252F1A95"/>
    <w:rsid w:val="2556149D"/>
    <w:rsid w:val="29CC7F7F"/>
    <w:rsid w:val="2A1738F0"/>
    <w:rsid w:val="2B276EAF"/>
    <w:rsid w:val="2B3E6C5B"/>
    <w:rsid w:val="2DD92C6B"/>
    <w:rsid w:val="2F2C6DE1"/>
    <w:rsid w:val="2FA5374C"/>
    <w:rsid w:val="31E067B7"/>
    <w:rsid w:val="3227669B"/>
    <w:rsid w:val="325D030E"/>
    <w:rsid w:val="36820344"/>
    <w:rsid w:val="36C02C1A"/>
    <w:rsid w:val="372A4537"/>
    <w:rsid w:val="37B80502"/>
    <w:rsid w:val="37ED4B4C"/>
    <w:rsid w:val="38DB554D"/>
    <w:rsid w:val="3A3861C7"/>
    <w:rsid w:val="3A3C0F6B"/>
    <w:rsid w:val="3BC92A1D"/>
    <w:rsid w:val="3CE60F00"/>
    <w:rsid w:val="3DD82F3F"/>
    <w:rsid w:val="3EB0280D"/>
    <w:rsid w:val="402C1320"/>
    <w:rsid w:val="421107CE"/>
    <w:rsid w:val="422B5D33"/>
    <w:rsid w:val="427A6373"/>
    <w:rsid w:val="43CA332A"/>
    <w:rsid w:val="44672F1A"/>
    <w:rsid w:val="44EE3048"/>
    <w:rsid w:val="450C20FD"/>
    <w:rsid w:val="465B64BB"/>
    <w:rsid w:val="480A6D89"/>
    <w:rsid w:val="48AA11F6"/>
    <w:rsid w:val="497F0713"/>
    <w:rsid w:val="4A6D4A0F"/>
    <w:rsid w:val="4BA6467C"/>
    <w:rsid w:val="4BC62629"/>
    <w:rsid w:val="4CA566E2"/>
    <w:rsid w:val="4D565C2E"/>
    <w:rsid w:val="4D8C3B2A"/>
    <w:rsid w:val="4E0A0EF3"/>
    <w:rsid w:val="525E180D"/>
    <w:rsid w:val="53035F10"/>
    <w:rsid w:val="5336651B"/>
    <w:rsid w:val="58E07078"/>
    <w:rsid w:val="5CE648D9"/>
    <w:rsid w:val="61C00B9C"/>
    <w:rsid w:val="61ED3E04"/>
    <w:rsid w:val="61EE5FDE"/>
    <w:rsid w:val="625C73EB"/>
    <w:rsid w:val="64961430"/>
    <w:rsid w:val="6497295D"/>
    <w:rsid w:val="66B26913"/>
    <w:rsid w:val="66D76B45"/>
    <w:rsid w:val="68447EF6"/>
    <w:rsid w:val="68DF069B"/>
    <w:rsid w:val="68E11DCC"/>
    <w:rsid w:val="697C2A82"/>
    <w:rsid w:val="6B361121"/>
    <w:rsid w:val="6B4D1FC7"/>
    <w:rsid w:val="6B913036"/>
    <w:rsid w:val="6C7C7008"/>
    <w:rsid w:val="6EDA0016"/>
    <w:rsid w:val="6EEE6E1E"/>
    <w:rsid w:val="704F233D"/>
    <w:rsid w:val="709D754D"/>
    <w:rsid w:val="71950224"/>
    <w:rsid w:val="723637B5"/>
    <w:rsid w:val="7304789C"/>
    <w:rsid w:val="73571C35"/>
    <w:rsid w:val="73880040"/>
    <w:rsid w:val="74AF784E"/>
    <w:rsid w:val="7AA80FC8"/>
    <w:rsid w:val="7C74376B"/>
    <w:rsid w:val="7E1150D6"/>
    <w:rsid w:val="7FE01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3"/>
    <w:unhideWhenUsed/>
    <w:qFormat/>
    <w:uiPriority w:val="99"/>
    <w:rPr>
      <w:rFonts w:ascii="宋体"/>
      <w:sz w:val="18"/>
      <w:szCs w:val="18"/>
    </w:r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6"/>
    <w:semiHidden/>
    <w:unhideWhenUsed/>
    <w:qFormat/>
    <w:uiPriority w:val="99"/>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99"/>
  </w:style>
  <w:style w:type="character" w:customStyle="1" w:styleId="13">
    <w:name w:val="文档结构图 Char"/>
    <w:link w:val="3"/>
    <w:semiHidden/>
    <w:qFormat/>
    <w:uiPriority w:val="99"/>
    <w:rPr>
      <w:rFonts w:ascii="宋体"/>
      <w:kern w:val="2"/>
      <w:sz w:val="18"/>
      <w:szCs w:val="18"/>
    </w:rPr>
  </w:style>
  <w:style w:type="character" w:customStyle="1" w:styleId="14">
    <w:name w:val="页眉 Char"/>
    <w:link w:val="7"/>
    <w:qFormat/>
    <w:uiPriority w:val="99"/>
    <w:rPr>
      <w:kern w:val="2"/>
      <w:sz w:val="18"/>
      <w:szCs w:val="18"/>
    </w:rPr>
  </w:style>
  <w:style w:type="character" w:customStyle="1" w:styleId="15">
    <w:name w:val="页脚 Char"/>
    <w:basedOn w:val="11"/>
    <w:link w:val="6"/>
    <w:qFormat/>
    <w:uiPriority w:val="99"/>
    <w:rPr>
      <w:kern w:val="2"/>
      <w:sz w:val="18"/>
      <w:szCs w:val="18"/>
    </w:rPr>
  </w:style>
  <w:style w:type="character" w:customStyle="1" w:styleId="16">
    <w:name w:val="批注框文本 Char"/>
    <w:basedOn w:val="11"/>
    <w:link w:val="5"/>
    <w:semiHidden/>
    <w:qFormat/>
    <w:uiPriority w:val="99"/>
    <w:rPr>
      <w:kern w:val="2"/>
      <w:sz w:val="18"/>
      <w:szCs w:val="18"/>
    </w:rPr>
  </w:style>
  <w:style w:type="paragraph" w:styleId="17">
    <w:name w:val="List Paragraph"/>
    <w:basedOn w:val="1"/>
    <w:qFormat/>
    <w:uiPriority w:val="0"/>
    <w:pPr>
      <w:ind w:firstLine="420" w:firstLineChars="200"/>
    </w:pPr>
    <w:rPr>
      <w:rFonts w:ascii="Calibri" w:hAnsi="Calibri" w:cs="Calibri"/>
      <w:szCs w:val="21"/>
    </w:rPr>
  </w:style>
  <w:style w:type="character" w:customStyle="1" w:styleId="18">
    <w:name w:val="日期 Char"/>
    <w:basedOn w:val="11"/>
    <w:link w:val="4"/>
    <w:semiHidden/>
    <w:qFormat/>
    <w:uiPriority w:val="99"/>
    <w:rPr>
      <w:kern w:val="2"/>
      <w:sz w:val="21"/>
      <w:szCs w:val="24"/>
    </w:rPr>
  </w:style>
  <w:style w:type="character" w:customStyle="1" w:styleId="19">
    <w:name w:val="fontstyle01"/>
    <w:basedOn w:val="11"/>
    <w:qFormat/>
    <w:uiPriority w:val="0"/>
    <w:rPr>
      <w:rFonts w:hint="default" w:ascii="FZXBSK--GBK1-0" w:hAnsi="FZXBSK--GBK1-0"/>
      <w:color w:val="000000"/>
      <w:sz w:val="44"/>
      <w:szCs w:val="44"/>
    </w:rPr>
  </w:style>
  <w:style w:type="character" w:customStyle="1" w:styleId="20">
    <w:name w:val="fontstyle21"/>
    <w:basedOn w:val="11"/>
    <w:qFormat/>
    <w:uiPriority w:val="0"/>
    <w:rPr>
      <w:rFonts w:hint="default" w:ascii="FZFSK--GBK1-0" w:hAnsi="FZFSK--GBK1-0"/>
      <w:color w:val="000000"/>
      <w:sz w:val="32"/>
      <w:szCs w:val="32"/>
    </w:rPr>
  </w:style>
  <w:style w:type="character" w:customStyle="1" w:styleId="21">
    <w:name w:val="fontstyle31"/>
    <w:basedOn w:val="11"/>
    <w:qFormat/>
    <w:uiPriority w:val="0"/>
    <w:rPr>
      <w:rFonts w:hint="default" w:ascii="TimesNewRomanPSMT" w:hAnsi="TimesNewRomanPSMT"/>
      <w:color w:val="000000"/>
      <w:sz w:val="32"/>
      <w:szCs w:val="32"/>
    </w:rPr>
  </w:style>
  <w:style w:type="character" w:customStyle="1" w:styleId="22">
    <w:name w:val="fontstyle11"/>
    <w:basedOn w:val="11"/>
    <w:qFormat/>
    <w:uiPriority w:val="0"/>
    <w:rPr>
      <w:rFonts w:hint="default" w:ascii="TimesNewRomanPSMT" w:hAnsi="TimesNewRomanPSMT"/>
      <w:color w:val="000000"/>
      <w:sz w:val="32"/>
      <w:szCs w:val="32"/>
    </w:rPr>
  </w:style>
  <w:style w:type="character" w:customStyle="1" w:styleId="23">
    <w:name w:val="fontstyle41"/>
    <w:basedOn w:val="11"/>
    <w:qFormat/>
    <w:uiPriority w:val="0"/>
    <w:rPr>
      <w:rFonts w:hint="default" w:ascii="E-BX" w:hAnsi="E-BX"/>
      <w:color w:val="000000"/>
      <w:sz w:val="32"/>
      <w:szCs w:val="32"/>
    </w:rPr>
  </w:style>
  <w:style w:type="character" w:customStyle="1" w:styleId="24">
    <w:name w:val="fontstyle51"/>
    <w:basedOn w:val="11"/>
    <w:qFormat/>
    <w:uiPriority w:val="0"/>
    <w:rPr>
      <w:rFonts w:hint="default" w:ascii="E-BZ" w:hAnsi="E-BZ"/>
      <w:color w:val="000000"/>
      <w:sz w:val="32"/>
      <w:szCs w:val="32"/>
    </w:rPr>
  </w:style>
  <w:style w:type="paragraph" w:customStyle="1" w:styleId="25">
    <w:name w:val="MdPh-heading3"/>
    <w:qFormat/>
    <w:uiPriority w:val="0"/>
    <w:pPr>
      <w:keepNext/>
      <w:keepLines/>
      <w:spacing w:before="160" w:after="80"/>
      <w:outlineLvl w:val="2"/>
    </w:pPr>
    <w:rPr>
      <w:rFonts w:asciiTheme="minorHAnsi" w:hAnsiTheme="minorHAnsi" w:eastAsiaTheme="minorEastAsia" w:cstheme="minorBidi"/>
      <w:kern w:val="2"/>
      <w:sz w:val="32"/>
      <w:szCs w:val="32"/>
      <w:lang w:val="en-US" w:eastAsia="zh-CN" w:bidi="ar-SA"/>
    </w:rPr>
  </w:style>
  <w:style w:type="paragraph" w:customStyle="1" w:styleId="26">
    <w:name w:val="MdPh-heading4"/>
    <w:qFormat/>
    <w:uiPriority w:val="0"/>
    <w:pPr>
      <w:keepNext/>
      <w:keepLines/>
      <w:spacing w:before="80" w:after="40"/>
      <w:outlineLvl w:val="3"/>
    </w:pPr>
    <w:rPr>
      <w:rFonts w:asciiTheme="minorHAnsi" w:hAnsiTheme="minorHAnsi" w:eastAsiaTheme="minorEastAsia" w:cstheme="minorBidi"/>
      <w:kern w:val="2"/>
      <w:sz w:val="28"/>
      <w:szCs w:val="28"/>
      <w:lang w:val="en-US" w:eastAsia="zh-CN" w:bidi="ar-SA"/>
    </w:rPr>
  </w:style>
  <w:style w:type="paragraph" w:customStyle="1" w:styleId="27">
    <w:name w:val="MdPh-paragraph"/>
    <w:qFormat/>
    <w:uiPriority w:val="0"/>
    <w:pPr>
      <w:spacing w:before="60" w:after="60"/>
    </w:pPr>
    <w:rPr>
      <w:rFonts w:asciiTheme="minorHAnsi" w:hAnsiTheme="minorHAnsi" w:eastAsiaTheme="minorEastAsia" w:cstheme="minorBidi"/>
      <w:kern w:val="2"/>
      <w:sz w:val="22"/>
      <w:szCs w:val="24"/>
      <w:lang w:val="en-US" w:eastAsia="zh-CN" w:bidi="ar-SA"/>
    </w:rPr>
  </w:style>
  <w:style w:type="table" w:customStyle="1" w:styleId="28">
    <w:name w:val="MdTb-tabl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baae92fa-3cb2-4c70-9363-6519e066c123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5AF0C4C7</paraID>
      <start>2</start>
      <end>8</end>
      <status>modified</status>
      <modifiedWord>“三公”经费</modifiedWord>
      <trackRevisions>false</trackRevisions>
    </reviewItem>
    <reviewItem>
      <errorID>ac65c86c-0a58-458d-b613-6c96bd584077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4F6C4B35</paraID>
      <start>22</start>
      <end>28</end>
      <status>modified</status>
      <modifiedWord>“三公”经费</modifiedWord>
      <trackRevisions>false</trackRevisions>
    </reviewItem>
    <reviewItem>
      <errorID>c725d3e0-cf2b-43cc-b6ac-54c4acd4792f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61DEDF67</paraID>
      <start>21</start>
      <end>27</end>
      <status>modified</status>
      <modifiedWord>“三公”经费</modifiedWord>
      <trackRevisions>false</trackRevisions>
    </reviewItem>
    <reviewItem>
      <errorID>02e1ab11-6c47-48dd-afe6-af6523789a57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28EF8410</paraID>
      <start>0</start>
      <end>2</end>
      <status>modified</status>
      <modifiedWord>1.</modifiedWord>
      <trackRevisions>false</trackRevisions>
    </reviewItem>
    <reviewItem>
      <errorID>5c21d1ea-b5c1-4271-bbaf-f4bf0cd629a7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66BF797B</paraID>
      <start>0</start>
      <end>2</end>
      <status>modified</status>
      <modifiedWord>2.</modifiedWord>
      <trackRevisions>false</trackRevisions>
    </reviewItem>
    <reviewItem>
      <errorID>8384deef-8b82-4694-a123-66a73b079de4</errorID>
      <errorWord>会计法</errorWord>
      <group>L1_Knowledge</group>
      <groupName>知识性问题</groupName>
      <ability>L2_Knowledge</ability>
      <abilityName>其他知识</abilityName>
      <candidateList>
        <item>中华人民共和国会计法</item>
      </candidateList>
      <explain>当前法律法规名称使用简称，请注意是否应当使用全称。</explain>
      <paraID>623DB6C7</paraID>
      <start>72</start>
      <end>82</end>
      <status>modified</status>
      <modifiedWord>中华人民共和国会计法</modifiedWord>
      <trackRevisions>false</trackRevisions>
    </reviewItem>
    <reviewItem>
      <errorID>a683b2c6-30f8-4c4d-aed1-1bdd46c07044</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623DB6C7</paraID>
      <start>84</start>
      <end>94</end>
      <status>modified</status>
      <modifiedWord>中华人民共和国预算法</modifiedWord>
      <trackRevisions>false</trackRevisions>
    </reviewItem>
    <reviewItem>
      <errorID>dae84a50-ac5f-4402-b431-91dea1b89eed</errorID>
      <errorWord>常委会议</errorWord>
      <group>L1_Word</group>
      <groupName>字词问题</groupName>
      <ability>L2_Typo</ability>
      <abilityName>字词错误</abilityName>
      <candidateList>
        <item>常委会会议</item>
      </candidateList>
      <explain/>
      <paraID>46879597</paraID>
      <start>97</start>
      <end>102</end>
      <status>modified</status>
      <modifiedWord>常委会会议</modifiedWord>
      <trackRevisions>false</trackRevisions>
    </reviewItem>
    <reviewItem>
      <errorID>fdb1fec6-cbdd-4ffc-a744-189803f886ee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6D2576B7</paraID>
      <start>212</start>
      <end>214</end>
      <status>modified</status>
      <modifiedWord>”“</modifiedWord>
      <trackRevisions>false</trackRevisions>
    </reviewItem>
    <reviewItem>
      <errorID>c56bb264-01f9-49aa-a0a3-91acb88dee44</errorID>
      <errorWord>粘度</errorWord>
      <group>L1_Word</group>
      <groupName>字词问题</groupName>
      <ability>L2_Alias</ability>
      <abilityName>也作/曾用词</abilityName>
      <candidateList>
        <item>黏度</item>
      </candidateList>
      <explain>词汇[粘度]为不规范表述或旧称，其规范书面表述为[黏度]。</explain>
      <paraID>485FBB84</paraID>
      <start>80</start>
      <end>82</end>
      <status>modified</status>
      <modifiedWord>黏度</modifiedWord>
      <trackRevisions>false</trackRevisions>
    </reviewItem>
    <reviewItem>
      <errorID>7c68b1e9-1c88-49b1-b9c5-2d31b58b5ac5</errorID>
      <errorWord>七零后</errorWord>
      <group>L1_Word</group>
      <groupName>字词问题</groupName>
      <ability>L2_Typo</ability>
      <abilityName>字词错误</abilityName>
      <candidateList>
        <item>70后</item>
      </candidateList>
      <explain/>
      <paraID>3DFCADDB</paraID>
      <start>129</start>
      <end>132</end>
      <status>modified</status>
      <modifiedWord>70后</modifiedWord>
      <trackRevisions>false</trackRevisions>
    </reviewItem>
    <reviewItem>
      <errorID>8af35bff-36b6-4d58-b8b9-c96952657cc6</errorID>
      <errorWord>八零后</errorWord>
      <group>L1_Word</group>
      <groupName>字词问题</groupName>
      <ability>L2_Typo</ability>
      <abilityName>字词错误</abilityName>
      <candidateList>
        <item>80后</item>
      </candidateList>
      <explain/>
      <paraID>3DFCADDB</paraID>
      <start>133</start>
      <end>136</end>
      <status>modified</status>
      <modifiedWord>80后</modifiedWord>
      <trackRevisions>false</trackRevisions>
    </reviewItem>
    <reviewItem>
      <errorID>589b2013-41f0-4f74-90ae-574be41d0ec3</errorID>
      <errorWord>类型</errorWord>
      <group>L1_Word</group>
      <groupName>字词问题</groupName>
      <ability>L2_Typo</ability>
      <abilityName>字词错误</abilityName>
      <candidateList>
        <item>类</item>
      </candidateList>
      <explain/>
      <paraID>2B9D1EC1</paraID>
      <start>167</start>
      <end>168</end>
      <status>modified</status>
      <modifiedWord>类</modifiedWord>
      <trackRevisions>false</trackRevisions>
    </reviewItem>
    <reviewItem>
      <errorID>d881f142-b519-4331-a858-fc0de1da81f1</errorID>
      <errorWord>基层支部</errorWord>
      <group>L1_Word</group>
      <groupName>字词问题</groupName>
      <ability>L2_Typo</ability>
      <abilityName>字词错误</abilityName>
      <candidateList>
        <item>基层党支部</item>
      </candidateList>
      <explain/>
      <paraID>53A1E7E8</paraID>
      <start>18</start>
      <end>22</end>
      <status>ignored</status>
      <modifiedWord/>
      <trackRevisions>false</trackRevisions>
    </reviewItem>
    <reviewItem>
      <errorID>3659562b-3823-4736-b6b0-c3e5aac0806b</errorID>
      <errorWord>"</errorWord>
      <group>L1_Format</group>
      <groupName>格式问题</groupName>
      <ability>L2_HalfPunc_CN</ability>
      <abilityName>全半角问题</abilityName>
      <candidateList>
        <item>“</item>
      </candidateList>
      <explain>文本全半角错误。</explain>
      <paraID>3E3831AB</paraID>
      <start>9</start>
      <end>10</end>
      <status>modified</status>
      <modifiedWord>“</modifiedWord>
      <trackRevisions>false</trackRevisions>
    </reviewItem>
    <reviewItem>
      <errorID>f5f70678-4e7e-4123-8f04-3db770586c26</errorID>
      <errorWord>"</errorWord>
      <group>L1_Format</group>
      <groupName>格式问题</groupName>
      <ability>L2_HalfPunc_CN</ability>
      <abilityName>全半角问题</abilityName>
      <candidateList>
        <item>”</item>
      </candidateList>
      <explain>文本全半角错误。</explain>
      <paraID>3E3831AB</paraID>
      <start>14</start>
      <end>15</end>
      <status>modified</status>
      <modifiedWord>”</modifiedWord>
      <trackRevisions>false</trackRevisions>
    </reviewItem>
    <reviewItem>
      <errorID>79b9c69c-9f02-491e-a9f0-825498170607</errorID>
      <errorWord>"</errorWord>
      <group>L1_Format</group>
      <groupName>格式问题</groupName>
      <ability>L2_HalfPunc_CN</ability>
      <abilityName>全半角问题</abilityName>
      <candidateList>
        <item>“</item>
      </candidateList>
      <explain>文本全半角错误。</explain>
      <paraID>37A36D41</paraID>
      <start>31</start>
      <end>32</end>
      <status>modified</status>
      <modifiedWord>“</modifiedWord>
      <trackRevisions>false</trackRevisions>
    </reviewItem>
    <reviewItem>
      <errorID>8050501e-c36e-47b5-84ef-29b1f5910e5f</errorID>
      <errorWord>"</errorWord>
      <group>L1_Format</group>
      <groupName>格式问题</groupName>
      <ability>L2_HalfPunc_CN</ability>
      <abilityName>全半角问题</abilityName>
      <candidateList>
        <item>”</item>
      </candidateList>
      <explain>文本全半角错误。</explain>
      <paraID>37A36D41</paraID>
      <start>39</start>
      <end>40</end>
      <status>modified</status>
      <modifiedWord>”</modifiedWord>
      <trackRevisions>false</trackRevisions>
    </reviewItem>
    <reviewItem>
      <errorID>fee6ce20-9b1c-4ceb-9006-271c351d9803</errorID>
      <errorWord>强化</errorWord>
      <group>L1_Grammar</group>
      <groupName>语法问题</groupName>
      <ability>L2_Grammar</ability>
      <abilityName>语法错误</abilityName>
      <candidateList>
        <item>提升</item>
      </candidateList>
      <explain>“强化～科学性”搭配不当，建议修改为“提升～科学性”。</explain>
      <paraID>57D6DD91</paraID>
      <start>0</start>
      <end>2</end>
      <status>ignored</status>
      <modifiedWord/>
      <trackRevisions>false</trackRevisions>
    </reviewItem>
    <reviewItem>
      <errorID>f965aa2a-5354-49b6-aae8-85a7e0a7caaa</errorID>
      <errorWord>"</errorWord>
      <group>L1_Format</group>
      <groupName>格式问题</groupName>
      <ability>L2_HalfPunc_CN</ability>
      <abilityName>全半角问题</abilityName>
      <candidateList>
        <item>“</item>
      </candidateList>
      <explain>文本全半角错误。</explain>
      <paraID>57D6DD91</paraID>
      <start>57</start>
      <end>58</end>
      <status>modified</status>
      <modifiedWord>“</modifiedWord>
      <trackRevisions>false</trackRevisions>
    </reviewItem>
    <reviewItem>
      <errorID>ad7319d6-867a-49ca-921a-9475ceb4c7d7</errorID>
      <errorWord>"</errorWord>
      <group>L1_Format</group>
      <groupName>格式问题</groupName>
      <ability>L2_HalfPunc_CN</ability>
      <abilityName>全半角问题</abilityName>
      <candidateList>
        <item>”</item>
      </candidateList>
      <explain>文本全半角错误。</explain>
      <paraID>57D6DD91</paraID>
      <start>61</start>
      <end>62</end>
      <status>modified</status>
      <modifiedWord>”</modifiedWord>
      <trackRevisions>false</trackRevisions>
    </reviewItem>
    <reviewItem>
      <errorID>dea47e8e-c71c-4ef0-88f2-931e8b76be7e</errorID>
      <errorWord>增强</errorWord>
      <group>L1_Grammar</group>
      <groupName>语法问题</groupName>
      <ability>L2_Grammar</ability>
      <abilityName>语法错误</abilityName>
      <candidateList>
        <item>提高</item>
      </candidateList>
      <explain>“增强～质量”搭配不当，建议修改为“提高～质量”。</explain>
      <paraID>3C2EC33E</paraID>
      <start>112</start>
      <end>114</end>
      <status>modified</status>
      <modifiedWord>提高</modifiedWord>
      <trackRevisions>false</trackRevisions>
    </reviewItem>
    <reviewItem>
      <errorID>057d08d7-4959-47f0-a232-7e8f35543120</errorID>
      <errorWord>"</errorWord>
      <group>L1_Format</group>
      <groupName>格式问题</groupName>
      <ability>L2_HalfPunc_CN</ability>
      <abilityName>全半角问题</abilityName>
      <candidateList>
        <item>“</item>
      </candidateList>
      <explain>文本全半角错误。</explain>
      <paraID>3C2EC33E</paraID>
      <start>138</start>
      <end>139</end>
      <status>modified</status>
      <modifiedWord>“</modifiedWord>
      <trackRevisions>false</trackRevisions>
    </reviewItem>
    <reviewItem>
      <errorID>65261b55-cd74-4838-8498-49a3664e30c3</errorID>
      <errorWord>"</errorWord>
      <group>L1_Format</group>
      <groupName>格式问题</groupName>
      <ability>L2_HalfPunc_CN</ability>
      <abilityName>全半角问题</abilityName>
      <candidateList>
        <item>”</item>
      </candidateList>
      <explain>文本全半角错误。</explain>
      <paraID>3C2EC33E</paraID>
      <start>143</start>
      <end>144</end>
      <status>modified</status>
      <modifiedWord>”</modifiedWord>
      <trackRevisions>false</trackRevisions>
    </reviewItem>
    <reviewItem>
      <errorID>3b35b169-3015-42f3-9b5f-bd014ab9a53a</errorID>
      <errorWord>"</errorWord>
      <group>L1_Format</group>
      <groupName>格式问题</groupName>
      <ability>L2_HalfPunc_CN</ability>
      <abilityName>全半角问题</abilityName>
      <candidateList>
        <item>“</item>
      </candidateList>
      <explain>文本全半角错误。</explain>
      <paraID>3C2EC33E</paraID>
      <start>161</start>
      <end>162</end>
      <status>modified</status>
      <modifiedWord>“</modifiedWord>
      <trackRevisions>false</trackRevisions>
    </reviewItem>
    <reviewItem>
      <errorID>c9afdb11-f748-4eee-983f-07bf236a0298</errorID>
      <errorWord>"</errorWord>
      <group>L1_Format</group>
      <groupName>格式问题</groupName>
      <ability>L2_HalfPunc_CN</ability>
      <abilityName>全半角问题</abilityName>
      <candidateList>
        <item>”</item>
      </candidateList>
      <explain>文本全半角错误。</explain>
      <paraID>3C2EC33E</paraID>
      <start>169</start>
      <end>170</end>
      <status>modified</status>
      <modifiedWord>”</modifiedWord>
      <trackRevisions>false</trackRevisions>
    </reviewItem>
    <reviewItem>
      <errorID>8078dd33-37d5-4a82-8abc-e446659b79d1</errorID>
      <errorWord>"</errorWord>
      <group>L1_Format</group>
      <groupName>格式问题</groupName>
      <ability>L2_HalfPunc_CN</ability>
      <abilityName>全半角问题</abilityName>
      <candidateList>
        <item>“</item>
      </candidateList>
      <explain>文本全半角错误。</explain>
      <paraID>3C2EC33E</paraID>
      <start>264</start>
      <end>265</end>
      <status>modified</status>
      <modifiedWord>“</modifiedWord>
      <trackRevisions>false</trackRevisions>
    </reviewItem>
    <reviewItem>
      <errorID>e8f99bbd-a697-4e91-89b2-9b30ffaaea97</errorID>
      <errorWord>"</errorWord>
      <group>L1_Format</group>
      <groupName>格式问题</groupName>
      <ability>L2_HalfPunc_CN</ability>
      <abilityName>全半角问题</abilityName>
      <candidateList>
        <item>”</item>
      </candidateList>
      <explain>文本全半角错误。</explain>
      <paraID>3C2EC33E</paraID>
      <start>268</start>
      <end>269</end>
      <status>modified</status>
      <modifiedWord>”</modifiedWord>
      <trackRevisions>false</trackRevisions>
    </reviewItem>
    <reviewItem>
      <errorID>fa35bf63-29b4-4985-8a01-5dc94a02b1ae</errorID>
      <errorWord>"</errorWord>
      <group>L1_Format</group>
      <groupName>格式问题</groupName>
      <ability>L2_HalfPunc_CN</ability>
      <abilityName>全半角问题</abilityName>
      <candidateList>
        <item>“</item>
      </candidateList>
      <explain>文本全半角错误。</explain>
      <paraID>1E11954E</paraID>
      <start>38</start>
      <end>39</end>
      <status>modified</status>
      <modifiedWord>“</modifiedWord>
      <trackRevisions>false</trackRevisions>
    </reviewItem>
    <reviewItem>
      <errorID>a82e1722-99ad-4743-9b23-96bf2818c69d</errorID>
      <errorWord>"</errorWord>
      <group>L1_Format</group>
      <groupName>格式问题</groupName>
      <ability>L2_HalfPunc_CN</ability>
      <abilityName>全半角问题</abilityName>
      <candidateList>
        <item>”</item>
      </candidateList>
      <explain>文本全半角错误。</explain>
      <paraID>1E11954E</paraID>
      <start>50</start>
      <end>51</end>
      <status>modified</status>
      <modifiedWord>”</modifiedWord>
      <trackRevisions>false</trackRevisions>
    </reviewItem>
    <reviewItem>
      <errorID>b72d6414-8b02-42f1-9edf-d99e2e09ad2d</errorID>
      <errorWord>，</errorWord>
      <group>L1_Word</group>
      <groupName>字词问题</groupName>
      <ability>L2_Typo</ability>
      <abilityName>字词错误</abilityName>
      <candidateList>
        <item>，针</item>
      </candidateList>
      <explain/>
      <paraID>5CDF3B70</paraID>
      <start>106</start>
      <end>108</end>
      <status>modified</status>
      <modifiedWord>，针</modifiedWord>
      <trackRevisions>false</trackRevisions>
    </reviewItem>
    <reviewItem>
      <errorID>d5140520-49f3-483f-b6b3-4273dbacd78f</errorID>
      <errorWord>"</errorWord>
      <group>L1_Format</group>
      <groupName>格式问题</groupName>
      <ability>L2_HalfPunc_CN</ability>
      <abilityName>全半角问题</abilityName>
      <candidateList>
        <item>“</item>
      </candidateList>
      <explain>文本全半角错误。</explain>
      <paraID>79910475</paraID>
      <start>10</start>
      <end>11</end>
      <status>modified</status>
      <modifiedWord>“</modifiedWord>
      <trackRevisions>false</trackRevisions>
    </reviewItem>
    <reviewItem>
      <errorID>c2675501-c34f-4324-9a3b-471abd5878f0</errorID>
      <errorWord>"</errorWord>
      <group>L1_Format</group>
      <groupName>格式问题</groupName>
      <ability>L2_HalfPunc_CN</ability>
      <abilityName>全半角问题</abilityName>
      <candidateList>
        <item>”</item>
      </candidateList>
      <explain>文本全半角错误。</explain>
      <paraID>79910475</paraID>
      <start>35</start>
      <end>36</end>
      <status>modified</status>
      <modifiedWord>”</modifiedWord>
      <trackRevisions>false</trackRevisions>
    </reviewItem>
    <reviewItem>
      <errorID>3f3ac14b-54c3-4725-aca8-0d6ca4875645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1167922</paraID>
      <start>0</start>
      <end>6</end>
      <status>modified</status>
      <modifiedWord>“三公”经费</modifiedWord>
      <trackRevisions>false</trackRevisions>
    </reviewItem>
    <reviewItem>
      <errorID>1e1ea597-883c-49a2-8877-c1465642b845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7F9088D3</paraID>
      <start>0</start>
      <end>6</end>
      <status>modified</status>
      <modifiedWord>“三公”经费</modifiedWord>
      <trackRevisions>false</trackRevisions>
    </reviewItem>
  </reviewItems>
  <config/>
</contractReview>
</file>

<file path=customXml/itemProps1.xml><?xml version="1.0" encoding="utf-8"?>
<ds:datastoreItem xmlns:ds="http://schemas.openxmlformats.org/officeDocument/2006/customXml" ds:itemID="{1472FC42-7AA9-42D6-B620-E0D0F498C25B}">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23</Pages>
  <Words>10063</Words>
  <Characters>10489</Characters>
  <Lines>77</Lines>
  <Paragraphs>21</Paragraphs>
  <TotalTime>1841</TotalTime>
  <ScaleCrop>false</ScaleCrop>
  <LinksUpToDate>false</LinksUpToDate>
  <CharactersWithSpaces>10497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2023-05-09T09:38:00Z</dcterms:created>
  <dc:creator>Administrator</dc:creator>
  <cp:lastModifiedBy>隔壁的80酱</cp:lastModifiedBy>
  <cp:lastPrinted>2026-06-24T02:38:00Z</cp:lastPrinted>
  <dcterms:modified xsi:type="dcterms:W3CDTF">2026-09-23T01:41:25Z</dcterms:modified>
  <dc:title>关于印发《南京市财政局办公自动化系统</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A7B9EC4345C047D2B5B6CEEC02326F8F_12</vt:lpwstr>
  </property>
  <property fmtid="{D5CDD505-2E9C-101B-9397-08002B2CF9AE}" pid="4" name="KSOTemplateDocerSaveRecord">
    <vt:lpwstr>eyJoZGlkIjoiMjY2Nzk1NmVmNmQ3NzdiMjE4YmFkNTU2YTZiNTJiZWEiLCJ1c2VySWQiOiIyNzk1NDc2NjQifQ==</vt:lpwstr>
  </property>
</Properties>
</file>